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517" w:rsidRPr="009D7BAC" w:rsidRDefault="00790517" w:rsidP="000D55B0">
      <w:pPr>
        <w:pStyle w:val="Default"/>
        <w:rPr>
          <w:b/>
          <w:bCs/>
          <w:color w:val="CF4A02"/>
          <w:sz w:val="20"/>
          <w:szCs w:val="20"/>
        </w:rPr>
      </w:pPr>
      <w:bookmarkStart w:id="0" w:name="_GoBack"/>
      <w:bookmarkEnd w:id="0"/>
      <w:r w:rsidRPr="009D7BAC">
        <w:rPr>
          <w:b/>
          <w:bCs/>
          <w:color w:val="CF4A02"/>
          <w:sz w:val="20"/>
          <w:szCs w:val="20"/>
        </w:rPr>
        <w:t>I</w:t>
      </w:r>
      <w:r w:rsidR="00886FDA" w:rsidRPr="009D7BAC">
        <w:rPr>
          <w:b/>
          <w:bCs/>
          <w:color w:val="CF4A02"/>
          <w:sz w:val="20"/>
          <w:szCs w:val="20"/>
        </w:rPr>
        <w:t>ndependent</w:t>
      </w:r>
      <w:r w:rsidRPr="009D7BAC">
        <w:rPr>
          <w:b/>
          <w:bCs/>
          <w:color w:val="CF4A02"/>
          <w:sz w:val="20"/>
          <w:szCs w:val="20"/>
        </w:rPr>
        <w:t xml:space="preserve"> </w:t>
      </w:r>
      <w:r w:rsidR="008E0FC2" w:rsidRPr="009D7BAC">
        <w:rPr>
          <w:b/>
          <w:bCs/>
          <w:color w:val="CF4A02"/>
          <w:sz w:val="20"/>
          <w:szCs w:val="20"/>
        </w:rPr>
        <w:t>A</w:t>
      </w:r>
      <w:r w:rsidR="00886FDA" w:rsidRPr="009D7BAC">
        <w:rPr>
          <w:b/>
          <w:bCs/>
          <w:color w:val="CF4A02"/>
          <w:sz w:val="20"/>
          <w:szCs w:val="20"/>
        </w:rPr>
        <w:t>uditor</w:t>
      </w:r>
      <w:r w:rsidRPr="009D7BAC">
        <w:rPr>
          <w:b/>
          <w:bCs/>
          <w:color w:val="CF4A02"/>
          <w:sz w:val="20"/>
          <w:szCs w:val="20"/>
        </w:rPr>
        <w:t>’</w:t>
      </w:r>
      <w:r w:rsidR="00886FDA" w:rsidRPr="009D7BAC">
        <w:rPr>
          <w:b/>
          <w:bCs/>
          <w:color w:val="CF4A02"/>
          <w:sz w:val="20"/>
          <w:szCs w:val="20"/>
        </w:rPr>
        <w:t xml:space="preserve">s </w:t>
      </w:r>
      <w:r w:rsidR="008E0FC2" w:rsidRPr="009D7BAC">
        <w:rPr>
          <w:b/>
          <w:bCs/>
          <w:color w:val="CF4A02"/>
          <w:sz w:val="20"/>
          <w:szCs w:val="20"/>
        </w:rPr>
        <w:t>R</w:t>
      </w:r>
      <w:r w:rsidR="00886FDA" w:rsidRPr="009D7BAC">
        <w:rPr>
          <w:b/>
          <w:bCs/>
          <w:color w:val="CF4A02"/>
          <w:sz w:val="20"/>
          <w:szCs w:val="20"/>
        </w:rPr>
        <w:t>eport</w:t>
      </w:r>
      <w:r w:rsidRPr="009D7BAC">
        <w:rPr>
          <w:b/>
          <w:bCs/>
          <w:color w:val="CF4A02"/>
          <w:sz w:val="20"/>
          <w:szCs w:val="20"/>
        </w:rPr>
        <w:t xml:space="preserve"> </w:t>
      </w:r>
    </w:p>
    <w:p w:rsidR="000D55B0" w:rsidRPr="009D7BAC" w:rsidRDefault="000D55B0" w:rsidP="000D55B0">
      <w:pPr>
        <w:pStyle w:val="Default"/>
        <w:rPr>
          <w:b/>
          <w:bCs/>
          <w:color w:val="CF4A02"/>
          <w:sz w:val="18"/>
          <w:szCs w:val="18"/>
        </w:rPr>
      </w:pPr>
    </w:p>
    <w:p w:rsidR="000D55B0" w:rsidRPr="009D7BAC" w:rsidRDefault="000D55B0" w:rsidP="000D55B0">
      <w:pPr>
        <w:pStyle w:val="Default"/>
        <w:rPr>
          <w:color w:val="CF4A02"/>
          <w:sz w:val="18"/>
          <w:szCs w:val="18"/>
        </w:rPr>
      </w:pPr>
    </w:p>
    <w:p w:rsidR="00790517" w:rsidRPr="009D7BAC" w:rsidRDefault="00F724E3" w:rsidP="00F724E3">
      <w:pPr>
        <w:pStyle w:val="Default"/>
        <w:rPr>
          <w:color w:val="CF4A02"/>
          <w:sz w:val="18"/>
          <w:szCs w:val="18"/>
        </w:rPr>
      </w:pPr>
      <w:r w:rsidRPr="009D7BAC">
        <w:rPr>
          <w:color w:val="CF4A02"/>
          <w:sz w:val="18"/>
          <w:szCs w:val="18"/>
        </w:rPr>
        <w:t xml:space="preserve">To the shareholders </w:t>
      </w:r>
      <w:r w:rsidRPr="009D7BAC">
        <w:rPr>
          <w:color w:val="CF4A02"/>
          <w:sz w:val="18"/>
          <w:szCs w:val="18"/>
          <w:lang w:val="en-US"/>
        </w:rPr>
        <w:t xml:space="preserve">and the Board of Directors of </w:t>
      </w:r>
      <w:proofErr w:type="spellStart"/>
      <w:r w:rsidR="00C34AA2" w:rsidRPr="009D7BAC">
        <w:rPr>
          <w:color w:val="CF4A02"/>
          <w:sz w:val="18"/>
          <w:szCs w:val="18"/>
          <w:lang w:val="en-US"/>
        </w:rPr>
        <w:t>Siamraj</w:t>
      </w:r>
      <w:proofErr w:type="spellEnd"/>
      <w:r w:rsidR="00C34AA2" w:rsidRPr="009D7BAC">
        <w:rPr>
          <w:color w:val="CF4A02"/>
          <w:sz w:val="18"/>
          <w:szCs w:val="18"/>
          <w:lang w:val="en-US"/>
        </w:rPr>
        <w:t xml:space="preserve"> Public Company Limited</w:t>
      </w:r>
    </w:p>
    <w:p w:rsidR="00790517" w:rsidRPr="009D7BAC" w:rsidRDefault="00790517" w:rsidP="000D55B0">
      <w:pPr>
        <w:pStyle w:val="Default"/>
        <w:rPr>
          <w:b/>
          <w:bCs/>
          <w:color w:val="CF4A02"/>
          <w:sz w:val="18"/>
          <w:szCs w:val="18"/>
        </w:rPr>
      </w:pPr>
    </w:p>
    <w:p w:rsidR="00F724E3" w:rsidRPr="009D7BAC" w:rsidRDefault="00F724E3" w:rsidP="000D55B0">
      <w:pPr>
        <w:pStyle w:val="Default"/>
        <w:rPr>
          <w:b/>
          <w:bCs/>
          <w:color w:val="CF4A02"/>
          <w:sz w:val="18"/>
          <w:szCs w:val="18"/>
        </w:rPr>
      </w:pPr>
    </w:p>
    <w:p w:rsidR="00790517" w:rsidRPr="009D7BAC" w:rsidRDefault="009D6C4B" w:rsidP="00C46DA4">
      <w:pPr>
        <w:pStyle w:val="Default"/>
        <w:spacing w:line="360" w:lineRule="auto"/>
        <w:jc w:val="thaiDistribute"/>
        <w:rPr>
          <w:b/>
          <w:bCs/>
          <w:color w:val="CF4A02"/>
          <w:sz w:val="18"/>
          <w:szCs w:val="18"/>
        </w:rPr>
      </w:pPr>
      <w:r w:rsidRPr="009D7BAC">
        <w:rPr>
          <w:b/>
          <w:bCs/>
          <w:color w:val="CF4A02"/>
          <w:sz w:val="18"/>
          <w:szCs w:val="18"/>
        </w:rPr>
        <w:t>My o</w:t>
      </w:r>
      <w:r w:rsidR="00790517" w:rsidRPr="009D7BAC">
        <w:rPr>
          <w:b/>
          <w:bCs/>
          <w:color w:val="CF4A02"/>
          <w:sz w:val="18"/>
          <w:szCs w:val="18"/>
        </w:rPr>
        <w:t xml:space="preserve">pinion </w:t>
      </w:r>
    </w:p>
    <w:p w:rsidR="00F724E3" w:rsidRPr="009D7BAC" w:rsidRDefault="00F724E3" w:rsidP="00F724E3">
      <w:pPr>
        <w:spacing w:after="0" w:line="240" w:lineRule="auto"/>
        <w:jc w:val="thaiDistribute"/>
        <w:rPr>
          <w:rFonts w:ascii="Arial" w:hAnsi="Arial" w:cs="Arial"/>
          <w:color w:val="000000"/>
          <w:spacing w:val="-2"/>
          <w:sz w:val="18"/>
          <w:szCs w:val="18"/>
        </w:rPr>
      </w:pPr>
      <w:r w:rsidRPr="009D7BAC">
        <w:rPr>
          <w:rFonts w:ascii="Arial" w:hAnsi="Arial" w:cs="Arial"/>
          <w:color w:val="000000"/>
          <w:spacing w:val="-2"/>
          <w:sz w:val="18"/>
          <w:szCs w:val="18"/>
        </w:rPr>
        <w:t xml:space="preserve">In my opinion, the consolidated financial statements </w:t>
      </w:r>
      <w:r w:rsidRPr="009D7BAC">
        <w:rPr>
          <w:rFonts w:ascii="Arial" w:hAnsi="Arial" w:cs="Arial"/>
          <w:spacing w:val="-2"/>
          <w:sz w:val="18"/>
          <w:szCs w:val="18"/>
          <w:lang w:val="en-US"/>
        </w:rPr>
        <w:t xml:space="preserve">and the </w:t>
      </w:r>
      <w:r w:rsidRPr="009D7BAC">
        <w:rPr>
          <w:rFonts w:ascii="Arial" w:hAnsi="Arial" w:cs="Arial"/>
          <w:color w:val="000000"/>
          <w:spacing w:val="-2"/>
          <w:sz w:val="18"/>
          <w:szCs w:val="18"/>
        </w:rPr>
        <w:t xml:space="preserve">separate financial statements present fairly, in all material respects, the consolidated financial position of </w:t>
      </w:r>
      <w:proofErr w:type="spellStart"/>
      <w:r w:rsidR="00F029A7" w:rsidRPr="009D7BAC">
        <w:rPr>
          <w:rFonts w:ascii="Arial" w:hAnsi="Arial" w:cs="Arial"/>
          <w:color w:val="000000"/>
          <w:spacing w:val="-2"/>
          <w:sz w:val="18"/>
          <w:szCs w:val="18"/>
        </w:rPr>
        <w:t>Siamraj</w:t>
      </w:r>
      <w:proofErr w:type="spellEnd"/>
      <w:r w:rsidR="00F029A7" w:rsidRPr="009D7BAC">
        <w:rPr>
          <w:rFonts w:ascii="Arial" w:hAnsi="Arial" w:cs="Arial"/>
          <w:color w:val="000000"/>
          <w:spacing w:val="-2"/>
          <w:sz w:val="18"/>
          <w:szCs w:val="18"/>
        </w:rPr>
        <w:t xml:space="preserve"> Public Company Limited</w:t>
      </w:r>
      <w:r w:rsidR="00F029A7" w:rsidRPr="009D7BAC">
        <w:rPr>
          <w:rFonts w:ascii="Arial" w:hAnsi="Arial" w:cs="Arial"/>
          <w:i/>
          <w:iCs/>
          <w:color w:val="000000"/>
          <w:spacing w:val="-2"/>
          <w:sz w:val="18"/>
          <w:szCs w:val="18"/>
        </w:rPr>
        <w:t xml:space="preserve"> </w:t>
      </w:r>
      <w:r w:rsidR="00F029A7" w:rsidRPr="009D7BAC">
        <w:rPr>
          <w:rFonts w:ascii="Arial" w:hAnsi="Arial" w:cs="Arial"/>
          <w:color w:val="000000"/>
          <w:spacing w:val="-2"/>
          <w:sz w:val="18"/>
          <w:szCs w:val="18"/>
        </w:rPr>
        <w:t xml:space="preserve">(the Company) </w:t>
      </w:r>
      <w:r w:rsidR="00F029A7" w:rsidRPr="009D7BAC">
        <w:rPr>
          <w:rFonts w:ascii="Arial" w:hAnsi="Arial" w:cs="Arial"/>
          <w:spacing w:val="-2"/>
          <w:sz w:val="18"/>
          <w:szCs w:val="18"/>
          <w:lang w:val="en-US"/>
        </w:rPr>
        <w:t>and its subsidiaries (the Group)</w:t>
      </w:r>
      <w:r w:rsidRPr="009D7BAC">
        <w:rPr>
          <w:rFonts w:ascii="Arial" w:hAnsi="Arial" w:cs="Arial"/>
          <w:spacing w:val="-2"/>
          <w:sz w:val="18"/>
          <w:szCs w:val="18"/>
          <w:lang w:val="en-US"/>
        </w:rPr>
        <w:t xml:space="preserve"> and</w:t>
      </w:r>
      <w:r w:rsidR="00F029A7">
        <w:rPr>
          <w:rFonts w:ascii="Arial" w:hAnsi="Arial" w:cs="Arial"/>
          <w:spacing w:val="-2"/>
          <w:sz w:val="18"/>
          <w:szCs w:val="18"/>
          <w:lang w:val="en-US"/>
        </w:rPr>
        <w:t xml:space="preserve"> the separate financial position</w:t>
      </w:r>
      <w:r w:rsidRPr="009D7BAC">
        <w:rPr>
          <w:rFonts w:ascii="Arial" w:hAnsi="Arial" w:cs="Arial"/>
          <w:spacing w:val="-2"/>
          <w:sz w:val="18"/>
          <w:szCs w:val="18"/>
          <w:lang w:val="en-US"/>
        </w:rPr>
        <w:t xml:space="preserve"> of the Company </w:t>
      </w:r>
      <w:r w:rsidRPr="009D7BAC">
        <w:rPr>
          <w:rFonts w:ascii="Arial" w:hAnsi="Arial" w:cs="Arial"/>
          <w:color w:val="000000"/>
          <w:spacing w:val="-2"/>
          <w:sz w:val="18"/>
          <w:szCs w:val="18"/>
        </w:rPr>
        <w:t>as at</w:t>
      </w:r>
      <w:r w:rsidR="00C34AA2" w:rsidRPr="009D7BAC">
        <w:rPr>
          <w:rFonts w:ascii="Arial" w:hAnsi="Arial" w:cs="Arial"/>
          <w:color w:val="000000"/>
          <w:spacing w:val="-2"/>
          <w:sz w:val="18"/>
          <w:szCs w:val="18"/>
        </w:rPr>
        <w:t xml:space="preserve"> 31 December 20</w:t>
      </w:r>
      <w:r w:rsidR="008926F0">
        <w:rPr>
          <w:rFonts w:ascii="Arial" w:hAnsi="Arial" w:cs="Arial"/>
          <w:color w:val="000000"/>
          <w:spacing w:val="-2"/>
          <w:sz w:val="18"/>
          <w:szCs w:val="18"/>
        </w:rPr>
        <w:t>20</w:t>
      </w:r>
      <w:r w:rsidRPr="009D7BAC">
        <w:rPr>
          <w:rFonts w:ascii="Arial" w:hAnsi="Arial" w:cs="Arial"/>
          <w:spacing w:val="-2"/>
          <w:sz w:val="18"/>
          <w:szCs w:val="18"/>
          <w:lang w:val="en-US"/>
        </w:rPr>
        <w:t>,</w:t>
      </w:r>
      <w:r w:rsidRPr="009D7BAC">
        <w:rPr>
          <w:rFonts w:ascii="Arial" w:hAnsi="Arial" w:cs="Arial"/>
          <w:color w:val="000000"/>
          <w:spacing w:val="-2"/>
          <w:sz w:val="18"/>
          <w:szCs w:val="18"/>
        </w:rPr>
        <w:t xml:space="preserve"> and its consolidated and separate financial performance and its consolidated and separate cash flows for the year then ended in accordance with Thai Financial Reporting Standards</w:t>
      </w:r>
      <w:r w:rsidRPr="009D7BAC">
        <w:rPr>
          <w:rFonts w:ascii="Arial" w:hAnsi="Arial" w:cs="Arial"/>
          <w:spacing w:val="-2"/>
          <w:sz w:val="18"/>
          <w:szCs w:val="18"/>
        </w:rPr>
        <w:t xml:space="preserve"> </w:t>
      </w:r>
      <w:r w:rsidRPr="009D7BAC">
        <w:rPr>
          <w:rFonts w:ascii="Arial" w:hAnsi="Arial" w:cs="Arial"/>
          <w:color w:val="000000"/>
          <w:spacing w:val="-2"/>
          <w:sz w:val="18"/>
          <w:szCs w:val="18"/>
        </w:rPr>
        <w:t xml:space="preserve">(TFRS). </w:t>
      </w:r>
    </w:p>
    <w:p w:rsidR="009D6C4B" w:rsidRPr="009D7BAC" w:rsidRDefault="009D6C4B" w:rsidP="000D55B0">
      <w:pPr>
        <w:pStyle w:val="Default"/>
        <w:jc w:val="thaiDistribute"/>
        <w:rPr>
          <w:b/>
          <w:bCs/>
          <w:sz w:val="18"/>
          <w:szCs w:val="18"/>
        </w:rPr>
      </w:pPr>
    </w:p>
    <w:p w:rsidR="009D6C4B" w:rsidRPr="009D7BAC" w:rsidRDefault="009D6C4B" w:rsidP="00C46DA4">
      <w:pPr>
        <w:pStyle w:val="Default"/>
        <w:spacing w:line="360" w:lineRule="auto"/>
        <w:jc w:val="thaiDistribute"/>
        <w:rPr>
          <w:b/>
          <w:bCs/>
          <w:color w:val="CF4A02"/>
          <w:sz w:val="18"/>
          <w:szCs w:val="18"/>
        </w:rPr>
      </w:pPr>
      <w:r w:rsidRPr="009D7BAC">
        <w:rPr>
          <w:b/>
          <w:bCs/>
          <w:color w:val="CF4A02"/>
          <w:sz w:val="18"/>
          <w:szCs w:val="18"/>
        </w:rPr>
        <w:t>What I have audited</w:t>
      </w:r>
    </w:p>
    <w:p w:rsidR="00110C2E" w:rsidRPr="009D7BAC" w:rsidRDefault="00110C2E" w:rsidP="00110C2E">
      <w:pPr>
        <w:pStyle w:val="Default"/>
        <w:jc w:val="thaiDistribute"/>
        <w:rPr>
          <w:sz w:val="18"/>
          <w:szCs w:val="18"/>
        </w:rPr>
      </w:pPr>
      <w:r w:rsidRPr="009D7BAC">
        <w:rPr>
          <w:sz w:val="18"/>
          <w:szCs w:val="18"/>
        </w:rPr>
        <w:t>The consolidated financial statements and the separate financial statements comprise:</w:t>
      </w:r>
    </w:p>
    <w:p w:rsidR="00110C2E" w:rsidRPr="009D7BAC" w:rsidRDefault="00110C2E" w:rsidP="00110C2E">
      <w:pPr>
        <w:pStyle w:val="Default"/>
        <w:numPr>
          <w:ilvl w:val="0"/>
          <w:numId w:val="1"/>
        </w:numPr>
        <w:tabs>
          <w:tab w:val="clear" w:pos="720"/>
          <w:tab w:val="num" w:pos="540"/>
        </w:tabs>
        <w:ind w:left="540"/>
        <w:jc w:val="thaiDistribute"/>
        <w:rPr>
          <w:sz w:val="18"/>
          <w:szCs w:val="18"/>
        </w:rPr>
      </w:pPr>
      <w:r w:rsidRPr="009D7BAC">
        <w:rPr>
          <w:sz w:val="18"/>
          <w:szCs w:val="18"/>
        </w:rPr>
        <w:t>the consolidated and separate statements of financial position as at 31 December 20</w:t>
      </w:r>
      <w:r w:rsidR="008926F0">
        <w:rPr>
          <w:sz w:val="18"/>
          <w:szCs w:val="18"/>
        </w:rPr>
        <w:t>20</w:t>
      </w:r>
      <w:r w:rsidRPr="009D7BAC">
        <w:rPr>
          <w:sz w:val="18"/>
          <w:szCs w:val="18"/>
        </w:rPr>
        <w:t>;</w:t>
      </w:r>
    </w:p>
    <w:p w:rsidR="00110C2E" w:rsidRPr="009D7BAC" w:rsidRDefault="00110C2E" w:rsidP="00110C2E">
      <w:pPr>
        <w:pStyle w:val="Default"/>
        <w:numPr>
          <w:ilvl w:val="0"/>
          <w:numId w:val="1"/>
        </w:numPr>
        <w:tabs>
          <w:tab w:val="clear" w:pos="720"/>
          <w:tab w:val="num" w:pos="540"/>
        </w:tabs>
        <w:ind w:left="540"/>
        <w:jc w:val="thaiDistribute"/>
        <w:rPr>
          <w:sz w:val="18"/>
          <w:szCs w:val="18"/>
        </w:rPr>
      </w:pPr>
      <w:r w:rsidRPr="009D7BAC">
        <w:rPr>
          <w:sz w:val="18"/>
          <w:szCs w:val="18"/>
        </w:rPr>
        <w:t>the consolidated and separate statements of comprehensive income for the year then ended;</w:t>
      </w:r>
    </w:p>
    <w:p w:rsidR="00110C2E" w:rsidRPr="009D7BAC" w:rsidRDefault="00110C2E" w:rsidP="00110C2E">
      <w:pPr>
        <w:pStyle w:val="Default"/>
        <w:numPr>
          <w:ilvl w:val="0"/>
          <w:numId w:val="1"/>
        </w:numPr>
        <w:tabs>
          <w:tab w:val="clear" w:pos="720"/>
          <w:tab w:val="num" w:pos="540"/>
        </w:tabs>
        <w:ind w:left="540"/>
        <w:jc w:val="thaiDistribute"/>
        <w:rPr>
          <w:sz w:val="18"/>
          <w:szCs w:val="18"/>
        </w:rPr>
      </w:pPr>
      <w:r w:rsidRPr="009D7BAC">
        <w:rPr>
          <w:sz w:val="18"/>
          <w:szCs w:val="18"/>
        </w:rPr>
        <w:t>the consolidated and separate statements of changes in equity for the year then ended;</w:t>
      </w:r>
    </w:p>
    <w:p w:rsidR="00110C2E" w:rsidRPr="009D7BAC" w:rsidRDefault="00110C2E" w:rsidP="00110C2E">
      <w:pPr>
        <w:pStyle w:val="Default"/>
        <w:numPr>
          <w:ilvl w:val="0"/>
          <w:numId w:val="1"/>
        </w:numPr>
        <w:tabs>
          <w:tab w:val="clear" w:pos="720"/>
          <w:tab w:val="num" w:pos="540"/>
        </w:tabs>
        <w:ind w:left="540"/>
        <w:jc w:val="thaiDistribute"/>
        <w:rPr>
          <w:sz w:val="18"/>
          <w:szCs w:val="18"/>
        </w:rPr>
      </w:pPr>
      <w:r w:rsidRPr="009D7BAC">
        <w:rPr>
          <w:sz w:val="18"/>
          <w:szCs w:val="18"/>
        </w:rPr>
        <w:t>the consolidated and separate statements of cash flows for the year then end</w:t>
      </w:r>
      <w:r w:rsidR="00C639BA" w:rsidRPr="009D7BAC">
        <w:rPr>
          <w:sz w:val="18"/>
          <w:szCs w:val="18"/>
        </w:rPr>
        <w:t>ed</w:t>
      </w:r>
      <w:r w:rsidRPr="009D7BAC">
        <w:rPr>
          <w:sz w:val="18"/>
          <w:szCs w:val="18"/>
        </w:rPr>
        <w:t>; and</w:t>
      </w:r>
    </w:p>
    <w:p w:rsidR="00110C2E" w:rsidRPr="00B14C38" w:rsidRDefault="00110C2E" w:rsidP="00110C2E">
      <w:pPr>
        <w:pStyle w:val="Default"/>
        <w:numPr>
          <w:ilvl w:val="0"/>
          <w:numId w:val="1"/>
        </w:numPr>
        <w:tabs>
          <w:tab w:val="clear" w:pos="720"/>
          <w:tab w:val="num" w:pos="540"/>
        </w:tabs>
        <w:ind w:left="540"/>
        <w:jc w:val="thaiDistribute"/>
        <w:rPr>
          <w:spacing w:val="-4"/>
          <w:sz w:val="18"/>
          <w:szCs w:val="18"/>
        </w:rPr>
      </w:pPr>
      <w:r w:rsidRPr="00B14C38">
        <w:rPr>
          <w:spacing w:val="-4"/>
          <w:sz w:val="18"/>
          <w:szCs w:val="18"/>
        </w:rPr>
        <w:t>the notes to the consolidated and separate financial statements, which include significant accounting policies</w:t>
      </w:r>
      <w:r w:rsidR="00F029A7" w:rsidRPr="00B14C38">
        <w:rPr>
          <w:spacing w:val="-4"/>
          <w:sz w:val="18"/>
          <w:szCs w:val="18"/>
        </w:rPr>
        <w:t xml:space="preserve"> and other explanatory information</w:t>
      </w:r>
      <w:r w:rsidRPr="00B14C38">
        <w:rPr>
          <w:spacing w:val="-4"/>
          <w:sz w:val="18"/>
          <w:szCs w:val="18"/>
        </w:rPr>
        <w:t xml:space="preserve">. </w:t>
      </w:r>
    </w:p>
    <w:p w:rsidR="00790517" w:rsidRPr="009D7BAC" w:rsidRDefault="00790517" w:rsidP="000D55B0">
      <w:pPr>
        <w:pStyle w:val="Default"/>
        <w:jc w:val="thaiDistribute"/>
        <w:rPr>
          <w:b/>
          <w:bCs/>
          <w:sz w:val="18"/>
          <w:szCs w:val="18"/>
        </w:rPr>
      </w:pPr>
    </w:p>
    <w:p w:rsidR="00790517" w:rsidRPr="009D7BAC" w:rsidRDefault="00790517" w:rsidP="00C46DA4">
      <w:pPr>
        <w:pStyle w:val="Default"/>
        <w:spacing w:line="360" w:lineRule="auto"/>
        <w:jc w:val="thaiDistribute"/>
        <w:rPr>
          <w:b/>
          <w:bCs/>
          <w:color w:val="CF4A02"/>
          <w:sz w:val="18"/>
          <w:szCs w:val="18"/>
        </w:rPr>
      </w:pPr>
      <w:r w:rsidRPr="009D7BAC">
        <w:rPr>
          <w:b/>
          <w:bCs/>
          <w:color w:val="CF4A02"/>
          <w:sz w:val="18"/>
          <w:szCs w:val="18"/>
        </w:rPr>
        <w:t xml:space="preserve">Basis for </w:t>
      </w:r>
      <w:r w:rsidR="00E07F94" w:rsidRPr="009D7BAC">
        <w:rPr>
          <w:b/>
          <w:bCs/>
          <w:color w:val="CF4A02"/>
          <w:sz w:val="18"/>
          <w:szCs w:val="18"/>
        </w:rPr>
        <w:t>o</w:t>
      </w:r>
      <w:r w:rsidRPr="009D7BAC">
        <w:rPr>
          <w:b/>
          <w:bCs/>
          <w:color w:val="CF4A02"/>
          <w:sz w:val="18"/>
          <w:szCs w:val="18"/>
        </w:rPr>
        <w:t xml:space="preserve">pinion </w:t>
      </w:r>
    </w:p>
    <w:p w:rsidR="00684C98" w:rsidRPr="009D7BAC" w:rsidRDefault="00684C98" w:rsidP="000D55B0">
      <w:pPr>
        <w:pStyle w:val="Default"/>
        <w:jc w:val="thaiDistribute"/>
        <w:rPr>
          <w:spacing w:val="-2"/>
          <w:sz w:val="18"/>
          <w:szCs w:val="18"/>
        </w:rPr>
      </w:pPr>
      <w:r w:rsidRPr="009D7BAC">
        <w:rPr>
          <w:spacing w:val="-2"/>
          <w:sz w:val="18"/>
          <w:szCs w:val="18"/>
        </w:rPr>
        <w:t xml:space="preserve">I conducted my audit in accordance with Thai Standards on Auditing (TSAs). My responsibilities under those standards are further described in the Auditor’s </w:t>
      </w:r>
      <w:r w:rsidR="00433A38" w:rsidRPr="009D7BAC">
        <w:rPr>
          <w:spacing w:val="-2"/>
          <w:sz w:val="18"/>
          <w:szCs w:val="18"/>
        </w:rPr>
        <w:t>r</w:t>
      </w:r>
      <w:r w:rsidRPr="009D7BAC">
        <w:rPr>
          <w:spacing w:val="-2"/>
          <w:sz w:val="18"/>
          <w:szCs w:val="18"/>
        </w:rPr>
        <w:t xml:space="preserve">esponsibilities for the </w:t>
      </w:r>
      <w:r w:rsidR="009D6C4B" w:rsidRPr="009D7BAC">
        <w:rPr>
          <w:spacing w:val="-2"/>
          <w:sz w:val="18"/>
          <w:szCs w:val="18"/>
        </w:rPr>
        <w:t>a</w:t>
      </w:r>
      <w:r w:rsidRPr="009D7BAC">
        <w:rPr>
          <w:spacing w:val="-2"/>
          <w:sz w:val="18"/>
          <w:szCs w:val="18"/>
        </w:rPr>
        <w:t>udit of the</w:t>
      </w:r>
      <w:r w:rsidR="005237A1" w:rsidRPr="009D7BAC">
        <w:rPr>
          <w:spacing w:val="-2"/>
          <w:sz w:val="18"/>
          <w:szCs w:val="18"/>
        </w:rPr>
        <w:t xml:space="preserve"> </w:t>
      </w:r>
      <w:r w:rsidR="009D6C4B" w:rsidRPr="009D7BAC">
        <w:rPr>
          <w:spacing w:val="-2"/>
          <w:sz w:val="18"/>
          <w:szCs w:val="18"/>
        </w:rPr>
        <w:t>c</w:t>
      </w:r>
      <w:r w:rsidR="005237A1" w:rsidRPr="009D7BAC">
        <w:rPr>
          <w:spacing w:val="-2"/>
          <w:sz w:val="18"/>
          <w:szCs w:val="18"/>
        </w:rPr>
        <w:t xml:space="preserve">onsolidated and </w:t>
      </w:r>
      <w:r w:rsidR="009D6C4B" w:rsidRPr="009D7BAC">
        <w:rPr>
          <w:spacing w:val="-2"/>
          <w:sz w:val="18"/>
          <w:szCs w:val="18"/>
        </w:rPr>
        <w:t>separate f</w:t>
      </w:r>
      <w:r w:rsidRPr="009D7BAC">
        <w:rPr>
          <w:spacing w:val="-2"/>
          <w:sz w:val="18"/>
          <w:szCs w:val="18"/>
        </w:rPr>
        <w:t xml:space="preserve">inancial </w:t>
      </w:r>
      <w:r w:rsidR="009D6C4B" w:rsidRPr="009D7BAC">
        <w:rPr>
          <w:spacing w:val="-2"/>
          <w:sz w:val="18"/>
          <w:szCs w:val="18"/>
        </w:rPr>
        <w:t>s</w:t>
      </w:r>
      <w:r w:rsidRPr="009D7BAC">
        <w:rPr>
          <w:spacing w:val="-2"/>
          <w:sz w:val="18"/>
          <w:szCs w:val="18"/>
        </w:rPr>
        <w:t xml:space="preserve">tatements section of my report. I am independent of the </w:t>
      </w:r>
      <w:r w:rsidR="005237A1" w:rsidRPr="009D7BAC">
        <w:rPr>
          <w:spacing w:val="-2"/>
          <w:sz w:val="18"/>
          <w:szCs w:val="18"/>
        </w:rPr>
        <w:t>Group</w:t>
      </w:r>
      <w:r w:rsidR="00AC1524" w:rsidRPr="009D7BAC">
        <w:rPr>
          <w:spacing w:val="-2"/>
          <w:sz w:val="18"/>
          <w:szCs w:val="18"/>
        </w:rPr>
        <w:t xml:space="preserve"> and Company</w:t>
      </w:r>
      <w:r w:rsidRPr="009D7BAC">
        <w:rPr>
          <w:spacing w:val="-2"/>
          <w:sz w:val="18"/>
          <w:szCs w:val="18"/>
        </w:rPr>
        <w:t xml:space="preserve"> in accordance with Code of Ethics for Professional Accountants</w:t>
      </w:r>
      <w:r w:rsidR="00F029A7">
        <w:rPr>
          <w:spacing w:val="-2"/>
          <w:sz w:val="18"/>
          <w:szCs w:val="18"/>
        </w:rPr>
        <w:t xml:space="preserve"> issued by </w:t>
      </w:r>
      <w:r w:rsidR="00F029A7" w:rsidRPr="009D7BAC">
        <w:rPr>
          <w:spacing w:val="-2"/>
          <w:sz w:val="18"/>
          <w:szCs w:val="18"/>
        </w:rPr>
        <w:t>the Federation of Accounting Professions</w:t>
      </w:r>
      <w:r w:rsidRPr="009D7BAC">
        <w:rPr>
          <w:spacing w:val="-2"/>
          <w:sz w:val="18"/>
          <w:szCs w:val="18"/>
        </w:rPr>
        <w:t xml:space="preserve"> that are relevant to my audit of the financial statements, and I have fulfilled my other ethical responsibilities in accordance with these requirements. </w:t>
      </w:r>
      <w:r w:rsidR="00B14C38">
        <w:rPr>
          <w:spacing w:val="-2"/>
          <w:sz w:val="18"/>
          <w:szCs w:val="18"/>
        </w:rPr>
        <w:br/>
      </w:r>
      <w:r w:rsidRPr="009D7BAC">
        <w:rPr>
          <w:spacing w:val="-2"/>
          <w:sz w:val="18"/>
          <w:szCs w:val="18"/>
        </w:rPr>
        <w:t xml:space="preserve">I believe that the audit evidence I have obtained is </w:t>
      </w:r>
      <w:proofErr w:type="gramStart"/>
      <w:r w:rsidRPr="009D7BAC">
        <w:rPr>
          <w:spacing w:val="-2"/>
          <w:sz w:val="18"/>
          <w:szCs w:val="18"/>
        </w:rPr>
        <w:t>sufficient</w:t>
      </w:r>
      <w:proofErr w:type="gramEnd"/>
      <w:r w:rsidRPr="009D7BAC">
        <w:rPr>
          <w:spacing w:val="-2"/>
          <w:sz w:val="18"/>
          <w:szCs w:val="18"/>
        </w:rPr>
        <w:t xml:space="preserve"> and appropriate to provide a basis for my opinion. </w:t>
      </w:r>
    </w:p>
    <w:p w:rsidR="00790517" w:rsidRPr="009D7BAC" w:rsidRDefault="00790517" w:rsidP="000D55B0">
      <w:pPr>
        <w:pStyle w:val="Default"/>
        <w:jc w:val="thaiDistribute"/>
        <w:rPr>
          <w:b/>
          <w:bCs/>
          <w:sz w:val="18"/>
          <w:szCs w:val="18"/>
        </w:rPr>
      </w:pPr>
    </w:p>
    <w:p w:rsidR="005C55A6" w:rsidRPr="009D7BAC" w:rsidRDefault="005C55A6" w:rsidP="005C55A6">
      <w:pPr>
        <w:pStyle w:val="Default"/>
        <w:spacing w:line="360" w:lineRule="auto"/>
        <w:jc w:val="thaiDistribute"/>
        <w:rPr>
          <w:b/>
          <w:bCs/>
          <w:color w:val="CF4A02"/>
          <w:sz w:val="18"/>
          <w:szCs w:val="18"/>
        </w:rPr>
      </w:pPr>
      <w:r w:rsidRPr="009D7BAC">
        <w:rPr>
          <w:b/>
          <w:bCs/>
          <w:color w:val="CF4A02"/>
          <w:sz w:val="18"/>
          <w:szCs w:val="18"/>
        </w:rPr>
        <w:t>Key audit matters</w:t>
      </w:r>
    </w:p>
    <w:p w:rsidR="005C55A6" w:rsidRPr="00D74471" w:rsidRDefault="005C55A6" w:rsidP="00995D44">
      <w:pPr>
        <w:spacing w:after="0" w:line="240" w:lineRule="auto"/>
        <w:rPr>
          <w:rFonts w:ascii="Arial" w:hAnsi="Arial" w:cs="Arial"/>
          <w:color w:val="000000"/>
          <w:spacing w:val="-2"/>
          <w:sz w:val="18"/>
          <w:szCs w:val="18"/>
        </w:rPr>
      </w:pPr>
      <w:r w:rsidRPr="00D74471">
        <w:rPr>
          <w:rFonts w:ascii="Arial" w:hAnsi="Arial" w:cs="Arial"/>
          <w:color w:val="000000"/>
          <w:spacing w:val="-2"/>
          <w:sz w:val="18"/>
          <w:szCs w:val="18"/>
        </w:rPr>
        <w:t>Key audit matters are those matters that, in my professional judg</w:t>
      </w:r>
      <w:r w:rsidR="00DE096E" w:rsidRPr="00D74471">
        <w:rPr>
          <w:rFonts w:ascii="Arial" w:hAnsi="Arial" w:cs="Arial"/>
          <w:color w:val="000000"/>
          <w:spacing w:val="-2"/>
          <w:sz w:val="18"/>
          <w:szCs w:val="18"/>
        </w:rPr>
        <w:t>e</w:t>
      </w:r>
      <w:r w:rsidRPr="00D74471">
        <w:rPr>
          <w:rFonts w:ascii="Arial" w:hAnsi="Arial" w:cs="Arial"/>
          <w:color w:val="000000"/>
          <w:spacing w:val="-2"/>
          <w:sz w:val="18"/>
          <w:szCs w:val="18"/>
        </w:rPr>
        <w:t>ment, were of most significance in my audit of the consolidated and separate financial statements of the current period.</w:t>
      </w:r>
      <w:r w:rsidR="00A65D3C" w:rsidRPr="00D74471">
        <w:rPr>
          <w:rFonts w:ascii="Arial" w:hAnsi="Arial" w:cs="Arial"/>
          <w:color w:val="000000"/>
          <w:spacing w:val="-2"/>
          <w:sz w:val="18"/>
          <w:szCs w:val="18"/>
        </w:rPr>
        <w:t xml:space="preserve"> </w:t>
      </w:r>
      <w:r w:rsidRPr="00D74471">
        <w:rPr>
          <w:rFonts w:ascii="Arial" w:hAnsi="Arial" w:cs="Arial"/>
          <w:color w:val="000000"/>
          <w:spacing w:val="-2"/>
          <w:sz w:val="18"/>
          <w:szCs w:val="18"/>
        </w:rPr>
        <w:t xml:space="preserve">These matters were addressed in the context of my audit of the consolidated and separate financial </w:t>
      </w:r>
      <w:proofErr w:type="gramStart"/>
      <w:r w:rsidRPr="00D74471">
        <w:rPr>
          <w:rFonts w:ascii="Arial" w:hAnsi="Arial" w:cs="Arial"/>
          <w:color w:val="000000"/>
          <w:spacing w:val="-2"/>
          <w:sz w:val="18"/>
          <w:szCs w:val="18"/>
        </w:rPr>
        <w:t>statements as a whole, and</w:t>
      </w:r>
      <w:proofErr w:type="gramEnd"/>
      <w:r w:rsidRPr="00D74471">
        <w:rPr>
          <w:rFonts w:ascii="Arial" w:hAnsi="Arial" w:cs="Arial"/>
          <w:color w:val="000000"/>
          <w:spacing w:val="-2"/>
          <w:sz w:val="18"/>
          <w:szCs w:val="18"/>
        </w:rPr>
        <w:t xml:space="preserve"> in forming my opinion thereon, and I do not provide a separate opinion on these matters. </w:t>
      </w:r>
    </w:p>
    <w:p w:rsidR="005C55A6" w:rsidRPr="009D7BAC" w:rsidRDefault="005C55A6" w:rsidP="000D55B0">
      <w:pPr>
        <w:pStyle w:val="Default"/>
        <w:jc w:val="thaiDistribute"/>
        <w:rPr>
          <w:b/>
          <w:bCs/>
          <w:sz w:val="18"/>
          <w:szCs w:val="18"/>
        </w:rPr>
      </w:pPr>
    </w:p>
    <w:p w:rsidR="005D072C" w:rsidRPr="009D7BAC" w:rsidRDefault="005D072C">
      <w:pPr>
        <w:rPr>
          <w:rFonts w:ascii="Arial" w:hAnsi="Arial" w:cs="Arial"/>
          <w:b/>
          <w:bCs/>
          <w:color w:val="C00000"/>
          <w:sz w:val="18"/>
          <w:szCs w:val="18"/>
        </w:rPr>
      </w:pPr>
    </w:p>
    <w:p w:rsidR="005D072C" w:rsidRPr="009D7BAC" w:rsidRDefault="005D072C">
      <w:pPr>
        <w:rPr>
          <w:rFonts w:ascii="Arial" w:hAnsi="Arial" w:cs="Arial"/>
          <w:b/>
          <w:bCs/>
          <w:color w:val="C00000"/>
          <w:sz w:val="18"/>
          <w:szCs w:val="18"/>
        </w:rPr>
        <w:sectPr w:rsidR="005D072C" w:rsidRPr="009D7BAC" w:rsidSect="00054B76">
          <w:pgSz w:w="11909" w:h="16834" w:code="9"/>
          <w:pgMar w:top="3139" w:right="720" w:bottom="1584" w:left="1987" w:header="706" w:footer="706" w:gutter="0"/>
          <w:cols w:space="708"/>
          <w:docGrid w:linePitch="360"/>
        </w:sectPr>
      </w:pPr>
    </w:p>
    <w:tbl>
      <w:tblPr>
        <w:tblW w:w="9207" w:type="dxa"/>
        <w:tblInd w:w="108" w:type="dxa"/>
        <w:tblBorders>
          <w:bottom w:val="dotted" w:sz="4" w:space="0" w:color="ED7D31"/>
        </w:tblBorders>
        <w:tblLayout w:type="fixed"/>
        <w:tblLook w:val="04A0" w:firstRow="1" w:lastRow="0" w:firstColumn="1" w:lastColumn="0" w:noHBand="0" w:noVBand="1"/>
      </w:tblPr>
      <w:tblGrid>
        <w:gridCol w:w="4617"/>
        <w:gridCol w:w="4590"/>
      </w:tblGrid>
      <w:tr w:rsidR="00747C86" w:rsidRPr="009D7BAC" w:rsidTr="0026286A">
        <w:trPr>
          <w:trHeight w:val="346"/>
        </w:trPr>
        <w:tc>
          <w:tcPr>
            <w:tcW w:w="4617" w:type="dxa"/>
            <w:shd w:val="clear" w:color="auto" w:fill="FFA543"/>
            <w:vAlign w:val="center"/>
          </w:tcPr>
          <w:p w:rsidR="00747C86" w:rsidRPr="009D7BAC" w:rsidRDefault="00A019FF" w:rsidP="007878B6">
            <w:pPr>
              <w:pStyle w:val="Default"/>
              <w:ind w:right="244"/>
              <w:jc w:val="center"/>
              <w:rPr>
                <w:b/>
                <w:bCs/>
                <w:color w:val="FFFFFF"/>
                <w:sz w:val="18"/>
                <w:szCs w:val="18"/>
              </w:rPr>
            </w:pPr>
            <w:bookmarkStart w:id="1" w:name="_Hlk31698995"/>
            <w:r w:rsidRPr="009D7BAC">
              <w:rPr>
                <w:b/>
                <w:bCs/>
                <w:color w:val="FFFFFF"/>
                <w:sz w:val="18"/>
                <w:szCs w:val="18"/>
              </w:rPr>
              <w:lastRenderedPageBreak/>
              <w:t>Key audit m</w:t>
            </w:r>
            <w:r w:rsidR="00747C86" w:rsidRPr="009D7BAC">
              <w:rPr>
                <w:b/>
                <w:bCs/>
                <w:color w:val="FFFFFF"/>
                <w:sz w:val="18"/>
                <w:szCs w:val="18"/>
              </w:rPr>
              <w:t>atter</w:t>
            </w:r>
          </w:p>
        </w:tc>
        <w:tc>
          <w:tcPr>
            <w:tcW w:w="4590" w:type="dxa"/>
            <w:shd w:val="clear" w:color="auto" w:fill="FFA543"/>
            <w:vAlign w:val="center"/>
          </w:tcPr>
          <w:p w:rsidR="00747C86" w:rsidRPr="009D7BAC" w:rsidRDefault="00747C86" w:rsidP="007878B6">
            <w:pPr>
              <w:pStyle w:val="Default"/>
              <w:jc w:val="center"/>
              <w:rPr>
                <w:b/>
                <w:bCs/>
                <w:color w:val="FFFFFF"/>
                <w:spacing w:val="-4"/>
                <w:sz w:val="18"/>
                <w:szCs w:val="18"/>
              </w:rPr>
            </w:pPr>
            <w:r w:rsidRPr="009D7BAC">
              <w:rPr>
                <w:b/>
                <w:bCs/>
                <w:color w:val="FFFFFF"/>
                <w:spacing w:val="-4"/>
                <w:sz w:val="18"/>
                <w:szCs w:val="18"/>
              </w:rPr>
              <w:t xml:space="preserve">How my audit addressed the </w:t>
            </w:r>
            <w:r w:rsidR="00A019FF" w:rsidRPr="009D7BAC">
              <w:rPr>
                <w:b/>
                <w:bCs/>
                <w:color w:val="FFFFFF"/>
                <w:spacing w:val="-4"/>
                <w:sz w:val="18"/>
                <w:szCs w:val="18"/>
              </w:rPr>
              <w:t>k</w:t>
            </w:r>
            <w:r w:rsidRPr="009D7BAC">
              <w:rPr>
                <w:b/>
                <w:bCs/>
                <w:color w:val="FFFFFF"/>
                <w:spacing w:val="-4"/>
                <w:sz w:val="18"/>
                <w:szCs w:val="18"/>
              </w:rPr>
              <w:t xml:space="preserve">ey </w:t>
            </w:r>
            <w:r w:rsidR="00A019FF" w:rsidRPr="009D7BAC">
              <w:rPr>
                <w:b/>
                <w:bCs/>
                <w:color w:val="FFFFFF"/>
                <w:spacing w:val="-4"/>
                <w:sz w:val="18"/>
                <w:szCs w:val="18"/>
              </w:rPr>
              <w:t>a</w:t>
            </w:r>
            <w:r w:rsidRPr="009D7BAC">
              <w:rPr>
                <w:b/>
                <w:bCs/>
                <w:color w:val="FFFFFF"/>
                <w:spacing w:val="-4"/>
                <w:sz w:val="18"/>
                <w:szCs w:val="18"/>
              </w:rPr>
              <w:t xml:space="preserve">udit </w:t>
            </w:r>
            <w:r w:rsidR="00A019FF" w:rsidRPr="009D7BAC">
              <w:rPr>
                <w:b/>
                <w:bCs/>
                <w:color w:val="FFFFFF"/>
                <w:spacing w:val="-4"/>
                <w:sz w:val="18"/>
                <w:szCs w:val="18"/>
              </w:rPr>
              <w:t>m</w:t>
            </w:r>
            <w:r w:rsidRPr="009D7BAC">
              <w:rPr>
                <w:b/>
                <w:bCs/>
                <w:color w:val="FFFFFF"/>
                <w:spacing w:val="-4"/>
                <w:sz w:val="18"/>
                <w:szCs w:val="18"/>
              </w:rPr>
              <w:t>atter</w:t>
            </w:r>
          </w:p>
        </w:tc>
      </w:tr>
      <w:bookmarkEnd w:id="1"/>
      <w:tr w:rsidR="00747C86" w:rsidRPr="009D7BAC" w:rsidTr="0026286A">
        <w:tc>
          <w:tcPr>
            <w:tcW w:w="4617" w:type="dxa"/>
            <w:tcBorders>
              <w:bottom w:val="nil"/>
            </w:tcBorders>
            <w:shd w:val="clear" w:color="auto" w:fill="auto"/>
          </w:tcPr>
          <w:p w:rsidR="007878B6" w:rsidRPr="00A03CC9" w:rsidRDefault="007878B6" w:rsidP="007878B6">
            <w:pPr>
              <w:spacing w:after="0" w:line="240" w:lineRule="auto"/>
              <w:rPr>
                <w:rFonts w:ascii="Arial" w:eastAsia="Arial" w:hAnsi="Arial" w:cs="Arial"/>
                <w:b/>
                <w:bCs/>
                <w:sz w:val="12"/>
                <w:szCs w:val="12"/>
              </w:rPr>
            </w:pPr>
          </w:p>
          <w:p w:rsidR="0028562B" w:rsidRPr="007063AD" w:rsidRDefault="0028562B" w:rsidP="0028562B">
            <w:pPr>
              <w:spacing w:after="0" w:line="240" w:lineRule="auto"/>
              <w:rPr>
                <w:rFonts w:ascii="Arial" w:eastAsia="Arial" w:hAnsi="Arial" w:cs="Arial"/>
                <w:b/>
                <w:bCs/>
                <w:i/>
                <w:iCs/>
                <w:sz w:val="18"/>
                <w:szCs w:val="18"/>
              </w:rPr>
            </w:pPr>
            <w:r w:rsidRPr="007063AD">
              <w:rPr>
                <w:rFonts w:ascii="Arial" w:eastAsia="Arial" w:hAnsi="Arial" w:cs="Arial"/>
                <w:b/>
                <w:bCs/>
                <w:i/>
                <w:iCs/>
                <w:sz w:val="18"/>
                <w:szCs w:val="18"/>
              </w:rPr>
              <w:t>Revenue recognition on construction contracts involves significant judgment</w:t>
            </w:r>
          </w:p>
          <w:p w:rsidR="007878B6" w:rsidRPr="0028562B" w:rsidRDefault="007878B6" w:rsidP="007878B6">
            <w:pPr>
              <w:spacing w:after="0" w:line="240" w:lineRule="auto"/>
              <w:rPr>
                <w:rFonts w:ascii="Arial" w:eastAsia="Arial" w:hAnsi="Arial" w:cs="Arial"/>
                <w:b/>
                <w:bCs/>
                <w:sz w:val="18"/>
                <w:szCs w:val="18"/>
              </w:rPr>
            </w:pPr>
          </w:p>
        </w:tc>
        <w:tc>
          <w:tcPr>
            <w:tcW w:w="4590" w:type="dxa"/>
            <w:tcBorders>
              <w:bottom w:val="nil"/>
            </w:tcBorders>
            <w:shd w:val="clear" w:color="auto" w:fill="FAFAFA"/>
          </w:tcPr>
          <w:p w:rsidR="00747C86" w:rsidRPr="009D7BAC" w:rsidRDefault="00747C86" w:rsidP="007878B6">
            <w:pPr>
              <w:pStyle w:val="Default"/>
              <w:jc w:val="thaiDistribute"/>
              <w:rPr>
                <w:sz w:val="18"/>
                <w:szCs w:val="18"/>
              </w:rPr>
            </w:pPr>
          </w:p>
        </w:tc>
      </w:tr>
      <w:tr w:rsidR="006E2189" w:rsidRPr="009D7BAC" w:rsidTr="0026286A">
        <w:tc>
          <w:tcPr>
            <w:tcW w:w="4617" w:type="dxa"/>
            <w:shd w:val="clear" w:color="auto" w:fill="auto"/>
          </w:tcPr>
          <w:p w:rsidR="0028562B" w:rsidRPr="0028562B" w:rsidRDefault="0028562B" w:rsidP="0028562B">
            <w:pPr>
              <w:spacing w:after="0" w:line="240" w:lineRule="auto"/>
              <w:jc w:val="both"/>
              <w:rPr>
                <w:rFonts w:ascii="Arial" w:hAnsi="Arial" w:cs="Arial"/>
                <w:noProof/>
                <w:color w:val="000000"/>
                <w:spacing w:val="-6"/>
                <w:sz w:val="18"/>
                <w:szCs w:val="18"/>
                <w:lang w:eastAsia="en-GB"/>
              </w:rPr>
            </w:pPr>
            <w:r w:rsidRPr="0028562B">
              <w:rPr>
                <w:rFonts w:ascii="Arial" w:hAnsi="Arial" w:cs="Arial"/>
                <w:noProof/>
                <w:color w:val="000000"/>
                <w:spacing w:val="-6"/>
                <w:sz w:val="18"/>
                <w:szCs w:val="18"/>
                <w:lang w:eastAsia="en-GB"/>
              </w:rPr>
              <w:t>One of the</w:t>
            </w:r>
            <w:r w:rsidRPr="0028562B">
              <w:rPr>
                <w:rFonts w:ascii="Arial" w:hAnsi="Arial" w:cs="Arial"/>
                <w:noProof/>
                <w:color w:val="000000"/>
                <w:spacing w:val="-6"/>
                <w:sz w:val="18"/>
                <w:szCs w:val="18"/>
                <w:rtl/>
                <w:cs/>
                <w:lang w:eastAsia="en-GB"/>
              </w:rPr>
              <w:t xml:space="preserve"> </w:t>
            </w:r>
            <w:r w:rsidRPr="0028562B">
              <w:rPr>
                <w:rFonts w:ascii="Arial" w:hAnsi="Arial" w:cs="Arial"/>
                <w:noProof/>
                <w:color w:val="000000"/>
                <w:spacing w:val="-6"/>
                <w:sz w:val="18"/>
                <w:szCs w:val="18"/>
                <w:lang w:eastAsia="en-GB"/>
              </w:rPr>
              <w:t>significant business activities of the Group is the Metering and Pipeline Transmission Business Unit (MPT). The Group provides engineering services, design and construction services for the Natural Gas Flow Measuring and Transmission System and Field of flow measurement.</w:t>
            </w:r>
          </w:p>
          <w:p w:rsidR="0028562B" w:rsidRPr="0028562B" w:rsidRDefault="0028562B" w:rsidP="0028562B">
            <w:pPr>
              <w:spacing w:after="0" w:line="240" w:lineRule="auto"/>
              <w:rPr>
                <w:rFonts w:ascii="Arial" w:hAnsi="Arial" w:cs="Arial"/>
                <w:noProof/>
                <w:color w:val="000000"/>
                <w:spacing w:val="-6"/>
                <w:sz w:val="18"/>
                <w:szCs w:val="18"/>
                <w:lang w:eastAsia="en-GB"/>
              </w:rPr>
            </w:pPr>
          </w:p>
          <w:p w:rsidR="0028562B" w:rsidRPr="0028562B" w:rsidRDefault="0028562B" w:rsidP="0028562B">
            <w:pPr>
              <w:spacing w:after="0" w:line="240" w:lineRule="auto"/>
              <w:jc w:val="thaiDistribute"/>
              <w:rPr>
                <w:rFonts w:ascii="Arial" w:hAnsi="Arial" w:cs="Arial"/>
                <w:noProof/>
                <w:color w:val="000000"/>
                <w:spacing w:val="-6"/>
                <w:sz w:val="18"/>
                <w:szCs w:val="18"/>
                <w:lang w:eastAsia="en-GB"/>
              </w:rPr>
            </w:pPr>
            <w:r w:rsidRPr="0028562B">
              <w:rPr>
                <w:rFonts w:ascii="Arial" w:hAnsi="Arial" w:cs="Arial"/>
                <w:noProof/>
                <w:color w:val="000000"/>
                <w:spacing w:val="-6"/>
                <w:sz w:val="18"/>
                <w:szCs w:val="18"/>
                <w:lang w:eastAsia="en-GB"/>
              </w:rPr>
              <w:t>The Group recognises revenue and costs from construction and engineering services using the percentage of completion method. The stage of completion is measured based on the proportion of contract costs incurred for work performed to date compared to the estimated total cost of the project</w:t>
            </w:r>
            <w:r w:rsidR="00D74471">
              <w:rPr>
                <w:rFonts w:ascii="Arial" w:hAnsi="Arial" w:cs="Arial"/>
                <w:noProof/>
                <w:color w:val="000000"/>
                <w:spacing w:val="-6"/>
                <w:sz w:val="18"/>
                <w:szCs w:val="18"/>
                <w:lang w:eastAsia="en-GB"/>
              </w:rPr>
              <w:t>, adjusted with uninstalled materials that the customer accepts and takes control but not yet installed</w:t>
            </w:r>
            <w:r w:rsidRPr="0028562B">
              <w:rPr>
                <w:rFonts w:ascii="Arial" w:hAnsi="Arial" w:cs="Arial"/>
                <w:noProof/>
                <w:color w:val="000000"/>
                <w:spacing w:val="-6"/>
                <w:sz w:val="18"/>
                <w:szCs w:val="18"/>
                <w:lang w:eastAsia="en-GB"/>
              </w:rPr>
              <w:t xml:space="preserve">. </w:t>
            </w:r>
          </w:p>
          <w:p w:rsidR="00A03CC9" w:rsidRPr="0028562B" w:rsidRDefault="00A03CC9" w:rsidP="00A03CC9">
            <w:pPr>
              <w:pStyle w:val="Default"/>
              <w:ind w:right="-15"/>
              <w:jc w:val="both"/>
              <w:rPr>
                <w:noProof/>
                <w:sz w:val="18"/>
                <w:szCs w:val="18"/>
                <w:lang w:eastAsia="en-GB"/>
              </w:rPr>
            </w:pPr>
          </w:p>
          <w:p w:rsidR="00A03CC9" w:rsidRDefault="00A03CC9" w:rsidP="00A03CC9">
            <w:pPr>
              <w:pStyle w:val="Default"/>
              <w:ind w:right="-15"/>
              <w:jc w:val="both"/>
              <w:rPr>
                <w:noProof/>
                <w:sz w:val="18"/>
                <w:szCs w:val="18"/>
                <w:lang w:eastAsia="en-GB"/>
              </w:rPr>
            </w:pPr>
            <w:r w:rsidRPr="00635544">
              <w:rPr>
                <w:noProof/>
                <w:sz w:val="18"/>
                <w:szCs w:val="18"/>
                <w:lang w:eastAsia="en-GB"/>
              </w:rPr>
              <w:t xml:space="preserve">I focused on this area as revenue recognition involves </w:t>
            </w:r>
            <w:r w:rsidRPr="00635544">
              <w:rPr>
                <w:noProof/>
                <w:spacing w:val="-6"/>
                <w:sz w:val="18"/>
                <w:szCs w:val="18"/>
                <w:lang w:eastAsia="en-GB"/>
              </w:rPr>
              <w:t xml:space="preserve">significant judgment and estimates </w:t>
            </w:r>
            <w:r>
              <w:rPr>
                <w:noProof/>
                <w:spacing w:val="-6"/>
                <w:sz w:val="18"/>
                <w:szCs w:val="18"/>
                <w:lang w:eastAsia="en-GB"/>
              </w:rPr>
              <w:t>from</w:t>
            </w:r>
            <w:r w:rsidRPr="00635544">
              <w:rPr>
                <w:noProof/>
                <w:spacing w:val="-6"/>
                <w:sz w:val="18"/>
                <w:szCs w:val="18"/>
                <w:lang w:eastAsia="en-GB"/>
              </w:rPr>
              <w:t xml:space="preserve"> management</w:t>
            </w:r>
            <w:r w:rsidRPr="00635544">
              <w:rPr>
                <w:noProof/>
                <w:sz w:val="18"/>
                <w:szCs w:val="18"/>
                <w:lang w:eastAsia="en-GB"/>
              </w:rPr>
              <w:t xml:space="preserve"> including</w:t>
            </w:r>
            <w:r>
              <w:rPr>
                <w:noProof/>
                <w:sz w:val="18"/>
                <w:szCs w:val="18"/>
                <w:lang w:eastAsia="en-GB"/>
              </w:rPr>
              <w:t xml:space="preserve"> </w:t>
            </w:r>
            <w:r w:rsidRPr="0056374F">
              <w:rPr>
                <w:noProof/>
                <w:sz w:val="18"/>
                <w:szCs w:val="18"/>
                <w:lang w:eastAsia="en-GB"/>
              </w:rPr>
              <w:t>the following matters:</w:t>
            </w:r>
          </w:p>
          <w:p w:rsidR="00A03CC9" w:rsidRPr="00AC1F21" w:rsidRDefault="00A03CC9" w:rsidP="00A03CC9">
            <w:pPr>
              <w:pStyle w:val="Default"/>
              <w:ind w:right="-15"/>
              <w:jc w:val="both"/>
              <w:rPr>
                <w:noProof/>
                <w:sz w:val="18"/>
                <w:szCs w:val="18"/>
                <w:lang w:eastAsia="en-GB"/>
              </w:rPr>
            </w:pPr>
          </w:p>
          <w:p w:rsidR="00A03CC9" w:rsidRPr="00635544" w:rsidRDefault="00A03CC9" w:rsidP="00A03CC9">
            <w:pPr>
              <w:pStyle w:val="Default"/>
              <w:numPr>
                <w:ilvl w:val="0"/>
                <w:numId w:val="20"/>
              </w:numPr>
              <w:ind w:left="525" w:hanging="270"/>
              <w:jc w:val="both"/>
              <w:rPr>
                <w:sz w:val="18"/>
                <w:szCs w:val="18"/>
              </w:rPr>
            </w:pPr>
            <w:r w:rsidRPr="007E0A84">
              <w:rPr>
                <w:sz w:val="18"/>
                <w:szCs w:val="18"/>
              </w:rPr>
              <w:t>determining whether performance</w:t>
            </w:r>
            <w:r w:rsidRPr="00635544">
              <w:rPr>
                <w:sz w:val="18"/>
                <w:szCs w:val="18"/>
              </w:rPr>
              <w:t xml:space="preserve"> obligations </w:t>
            </w:r>
            <w:r>
              <w:rPr>
                <w:sz w:val="18"/>
                <w:szCs w:val="18"/>
              </w:rPr>
              <w:t xml:space="preserve">in </w:t>
            </w:r>
            <w:r w:rsidRPr="00A03CC9">
              <w:rPr>
                <w:spacing w:val="-4"/>
                <w:sz w:val="18"/>
                <w:szCs w:val="18"/>
              </w:rPr>
              <w:t>each contract should be accounted for separately;</w:t>
            </w:r>
          </w:p>
          <w:p w:rsidR="00A03CC9" w:rsidRPr="00A03CC9" w:rsidRDefault="00A03CC9" w:rsidP="00A03CC9">
            <w:pPr>
              <w:pStyle w:val="Default"/>
              <w:numPr>
                <w:ilvl w:val="0"/>
                <w:numId w:val="20"/>
              </w:numPr>
              <w:ind w:left="525" w:hanging="270"/>
              <w:jc w:val="both"/>
              <w:rPr>
                <w:spacing w:val="-10"/>
                <w:sz w:val="18"/>
                <w:szCs w:val="18"/>
              </w:rPr>
            </w:pPr>
            <w:r w:rsidRPr="00A03CC9">
              <w:rPr>
                <w:spacing w:val="-10"/>
                <w:sz w:val="18"/>
                <w:szCs w:val="18"/>
              </w:rPr>
              <w:t xml:space="preserve">choosing the most appropriate revenue recognition method for each identified performance obligation; </w:t>
            </w:r>
          </w:p>
          <w:p w:rsidR="00A03CC9" w:rsidRDefault="00A03CC9" w:rsidP="00A03CC9">
            <w:pPr>
              <w:pStyle w:val="Default"/>
              <w:numPr>
                <w:ilvl w:val="0"/>
                <w:numId w:val="20"/>
              </w:numPr>
              <w:ind w:left="525" w:hanging="270"/>
              <w:jc w:val="both"/>
              <w:rPr>
                <w:sz w:val="18"/>
                <w:szCs w:val="18"/>
              </w:rPr>
            </w:pPr>
            <w:r w:rsidRPr="007E0A84">
              <w:rPr>
                <w:sz w:val="18"/>
                <w:szCs w:val="18"/>
              </w:rPr>
              <w:t xml:space="preserve">preparing budgeted cost and reviewing the </w:t>
            </w:r>
            <w:r w:rsidR="00D74471">
              <w:rPr>
                <w:sz w:val="18"/>
                <w:szCs w:val="18"/>
              </w:rPr>
              <w:t>stage</w:t>
            </w:r>
            <w:r w:rsidRPr="007E0A84">
              <w:rPr>
                <w:sz w:val="18"/>
                <w:szCs w:val="18"/>
              </w:rPr>
              <w:t xml:space="preserve"> of completion for each project, as well as considering any potential provision for project loss;</w:t>
            </w:r>
            <w:r>
              <w:rPr>
                <w:sz w:val="18"/>
                <w:szCs w:val="18"/>
              </w:rPr>
              <w:t xml:space="preserve"> </w:t>
            </w:r>
          </w:p>
          <w:p w:rsidR="00A03CC9" w:rsidRDefault="00A03CC9" w:rsidP="00A03CC9">
            <w:pPr>
              <w:pStyle w:val="Default"/>
              <w:numPr>
                <w:ilvl w:val="0"/>
                <w:numId w:val="20"/>
              </w:numPr>
              <w:ind w:left="525" w:hanging="270"/>
              <w:jc w:val="both"/>
              <w:rPr>
                <w:sz w:val="18"/>
                <w:szCs w:val="18"/>
              </w:rPr>
            </w:pPr>
            <w:r w:rsidRPr="00A03CC9">
              <w:rPr>
                <w:spacing w:val="-4"/>
                <w:sz w:val="18"/>
                <w:szCs w:val="18"/>
              </w:rPr>
              <w:t>allocating consideration for individual performance</w:t>
            </w:r>
            <w:r w:rsidRPr="00635544">
              <w:rPr>
                <w:sz w:val="18"/>
                <w:szCs w:val="18"/>
              </w:rPr>
              <w:t xml:space="preserve"> obligation</w:t>
            </w:r>
            <w:r>
              <w:rPr>
                <w:sz w:val="18"/>
                <w:szCs w:val="18"/>
              </w:rPr>
              <w:t>; and</w:t>
            </w:r>
          </w:p>
          <w:p w:rsidR="00A03CC9" w:rsidRPr="00691D7C" w:rsidRDefault="00A03CC9" w:rsidP="00A03CC9">
            <w:pPr>
              <w:pStyle w:val="Default"/>
              <w:numPr>
                <w:ilvl w:val="0"/>
                <w:numId w:val="20"/>
              </w:numPr>
              <w:ind w:left="525" w:hanging="270"/>
              <w:jc w:val="both"/>
              <w:rPr>
                <w:sz w:val="18"/>
                <w:szCs w:val="18"/>
              </w:rPr>
            </w:pPr>
            <w:r w:rsidRPr="004E5367">
              <w:rPr>
                <w:sz w:val="18"/>
                <w:szCs w:val="18"/>
              </w:rPr>
              <w:t xml:space="preserve">determining whether revenue is recognised over the </w:t>
            </w:r>
            <w:proofErr w:type="gramStart"/>
            <w:r w:rsidRPr="004E5367">
              <w:rPr>
                <w:sz w:val="18"/>
                <w:szCs w:val="18"/>
              </w:rPr>
              <w:t>period of time</w:t>
            </w:r>
            <w:proofErr w:type="gramEnd"/>
            <w:r w:rsidRPr="004E5367">
              <w:rPr>
                <w:sz w:val="18"/>
                <w:szCs w:val="18"/>
              </w:rPr>
              <w:t xml:space="preserve"> when the degree of completion of projects and service is taken into account</w:t>
            </w:r>
            <w:r>
              <w:rPr>
                <w:sz w:val="18"/>
                <w:szCs w:val="18"/>
              </w:rPr>
              <w:t>.</w:t>
            </w:r>
          </w:p>
          <w:p w:rsidR="006E2189" w:rsidRPr="009D7BAC" w:rsidRDefault="006E2189" w:rsidP="00A03CC9">
            <w:pPr>
              <w:pStyle w:val="Default"/>
              <w:ind w:right="-15"/>
              <w:jc w:val="both"/>
              <w:rPr>
                <w:rFonts w:eastAsia="Arial"/>
                <w:sz w:val="18"/>
                <w:szCs w:val="18"/>
              </w:rPr>
            </w:pPr>
          </w:p>
        </w:tc>
        <w:tc>
          <w:tcPr>
            <w:tcW w:w="4590" w:type="dxa"/>
            <w:shd w:val="clear" w:color="auto" w:fill="FAFAFA"/>
          </w:tcPr>
          <w:p w:rsidR="006E2189" w:rsidRPr="009D7BAC" w:rsidRDefault="006E2189" w:rsidP="006E2189">
            <w:pPr>
              <w:pStyle w:val="Default"/>
              <w:ind w:right="-15"/>
              <w:jc w:val="both"/>
              <w:rPr>
                <w:sz w:val="18"/>
                <w:szCs w:val="18"/>
              </w:rPr>
            </w:pPr>
            <w:r w:rsidRPr="009D7BAC">
              <w:rPr>
                <w:spacing w:val="-6"/>
                <w:sz w:val="18"/>
                <w:szCs w:val="18"/>
              </w:rPr>
              <w:t>The key procedures in relation to revenue recognition</w:t>
            </w:r>
            <w:r w:rsidR="0028562B" w:rsidRPr="00AC1F21">
              <w:rPr>
                <w:rFonts w:cs="Cordia New"/>
                <w:spacing w:val="-6"/>
                <w:sz w:val="18"/>
                <w:szCs w:val="18"/>
              </w:rPr>
              <w:t xml:space="preserve"> on construction contract</w:t>
            </w:r>
            <w:r w:rsidRPr="009D7BAC">
              <w:rPr>
                <w:spacing w:val="-4"/>
                <w:sz w:val="18"/>
                <w:szCs w:val="18"/>
              </w:rPr>
              <w:t xml:space="preserve"> </w:t>
            </w:r>
            <w:r w:rsidRPr="009D7BAC">
              <w:rPr>
                <w:sz w:val="18"/>
                <w:szCs w:val="18"/>
              </w:rPr>
              <w:t>included:</w:t>
            </w:r>
          </w:p>
          <w:p w:rsidR="006E2189" w:rsidRPr="009D7BAC" w:rsidRDefault="006E2189" w:rsidP="006E2189">
            <w:pPr>
              <w:spacing w:after="0" w:line="240" w:lineRule="auto"/>
              <w:ind w:right="-15"/>
              <w:jc w:val="both"/>
              <w:rPr>
                <w:rFonts w:ascii="Arial" w:hAnsi="Arial" w:cs="Arial"/>
                <w:sz w:val="16"/>
                <w:szCs w:val="16"/>
              </w:rPr>
            </w:pPr>
          </w:p>
          <w:p w:rsidR="00A03CC9" w:rsidRPr="00635544" w:rsidRDefault="000F1598" w:rsidP="00A03CC9">
            <w:pPr>
              <w:pStyle w:val="Default"/>
              <w:numPr>
                <w:ilvl w:val="0"/>
                <w:numId w:val="20"/>
              </w:numPr>
              <w:ind w:left="499"/>
              <w:jc w:val="both"/>
              <w:rPr>
                <w:sz w:val="18"/>
                <w:szCs w:val="18"/>
              </w:rPr>
            </w:pPr>
            <w:r>
              <w:rPr>
                <w:spacing w:val="-6"/>
                <w:sz w:val="18"/>
                <w:szCs w:val="18"/>
              </w:rPr>
              <w:t>D</w:t>
            </w:r>
            <w:r w:rsidR="00A03CC9" w:rsidRPr="007F7811">
              <w:rPr>
                <w:spacing w:val="-6"/>
                <w:sz w:val="18"/>
                <w:szCs w:val="18"/>
              </w:rPr>
              <w:t>iscussing the Group’s accounting policy</w:t>
            </w:r>
            <w:r w:rsidR="00A03CC9" w:rsidRPr="00635544">
              <w:rPr>
                <w:spacing w:val="-6"/>
                <w:sz w:val="18"/>
                <w:szCs w:val="18"/>
              </w:rPr>
              <w:t xml:space="preserve"> </w:t>
            </w:r>
            <w:r w:rsidR="00A03CC9" w:rsidRPr="007F7811">
              <w:rPr>
                <w:spacing w:val="-4"/>
                <w:sz w:val="18"/>
                <w:szCs w:val="18"/>
              </w:rPr>
              <w:t>with the management, including the management’s</w:t>
            </w:r>
            <w:r w:rsidR="00A03CC9" w:rsidRPr="00635544">
              <w:rPr>
                <w:sz w:val="18"/>
                <w:szCs w:val="18"/>
              </w:rPr>
              <w:t xml:space="preserve"> key estimates and judgments</w:t>
            </w:r>
            <w:r w:rsidR="00A03CC9">
              <w:rPr>
                <w:sz w:val="18"/>
                <w:szCs w:val="18"/>
              </w:rPr>
              <w:t>.</w:t>
            </w:r>
          </w:p>
          <w:p w:rsidR="00A03CC9" w:rsidRPr="00635544" w:rsidRDefault="00A03CC9" w:rsidP="00A03CC9">
            <w:pPr>
              <w:pStyle w:val="Default"/>
              <w:ind w:left="499" w:hanging="360"/>
              <w:jc w:val="both"/>
              <w:rPr>
                <w:sz w:val="18"/>
                <w:szCs w:val="18"/>
              </w:rPr>
            </w:pPr>
          </w:p>
          <w:p w:rsidR="00A03CC9" w:rsidRPr="007F7811" w:rsidRDefault="00A03CC9" w:rsidP="00A03CC9">
            <w:pPr>
              <w:numPr>
                <w:ilvl w:val="0"/>
                <w:numId w:val="20"/>
              </w:numPr>
              <w:spacing w:after="0" w:line="240" w:lineRule="auto"/>
              <w:ind w:left="499"/>
              <w:contextualSpacing/>
              <w:jc w:val="both"/>
              <w:rPr>
                <w:rFonts w:ascii="Arial" w:hAnsi="Arial" w:cs="Arial"/>
                <w:color w:val="000000"/>
                <w:sz w:val="18"/>
                <w:szCs w:val="18"/>
              </w:rPr>
            </w:pPr>
            <w:r>
              <w:rPr>
                <w:rFonts w:ascii="Arial" w:hAnsi="Arial" w:cs="Arial"/>
                <w:color w:val="000000"/>
                <w:sz w:val="18"/>
                <w:szCs w:val="18"/>
              </w:rPr>
              <w:t>E</w:t>
            </w:r>
            <w:r w:rsidRPr="00635544">
              <w:rPr>
                <w:rFonts w:ascii="Arial" w:hAnsi="Arial" w:cs="Arial"/>
                <w:color w:val="000000"/>
                <w:sz w:val="18"/>
                <w:szCs w:val="18"/>
              </w:rPr>
              <w:t xml:space="preserve">valuating the </w:t>
            </w:r>
            <w:r w:rsidR="00D74471">
              <w:rPr>
                <w:rFonts w:ascii="Arial" w:hAnsi="Arial" w:cs="Arial"/>
                <w:color w:val="000000"/>
                <w:sz w:val="18"/>
                <w:szCs w:val="18"/>
              </w:rPr>
              <w:t>design of</w:t>
            </w:r>
            <w:r w:rsidRPr="00635544">
              <w:rPr>
                <w:rFonts w:ascii="Arial" w:hAnsi="Arial" w:cs="Arial"/>
                <w:color w:val="000000"/>
                <w:sz w:val="18"/>
                <w:szCs w:val="18"/>
              </w:rPr>
              <w:t xml:space="preserve"> </w:t>
            </w:r>
            <w:r w:rsidRPr="00635544">
              <w:rPr>
                <w:rFonts w:ascii="Arial" w:hAnsi="Arial" w:cs="Arial"/>
                <w:color w:val="000000"/>
                <w:spacing w:val="-6"/>
                <w:sz w:val="18"/>
                <w:szCs w:val="18"/>
              </w:rPr>
              <w:t>internal control</w:t>
            </w:r>
            <w:r>
              <w:rPr>
                <w:rFonts w:ascii="Arial" w:hAnsi="Arial" w:cs="Arial"/>
                <w:color w:val="000000"/>
                <w:spacing w:val="-6"/>
                <w:sz w:val="18"/>
                <w:szCs w:val="18"/>
              </w:rPr>
              <w:t xml:space="preserve"> </w:t>
            </w:r>
            <w:r w:rsidRPr="007F7811">
              <w:rPr>
                <w:rFonts w:ascii="Arial" w:hAnsi="Arial" w:cs="Arial"/>
                <w:color w:val="000000"/>
                <w:sz w:val="18"/>
                <w:szCs w:val="18"/>
              </w:rPr>
              <w:t>relating to budgeting</w:t>
            </w:r>
            <w:r w:rsidR="00D74471">
              <w:rPr>
                <w:rFonts w:ascii="Arial" w:hAnsi="Arial" w:cs="Arial"/>
                <w:color w:val="000000"/>
                <w:sz w:val="18"/>
                <w:szCs w:val="18"/>
              </w:rPr>
              <w:t>,</w:t>
            </w:r>
            <w:r w:rsidRPr="007F7811">
              <w:rPr>
                <w:rFonts w:ascii="Arial" w:hAnsi="Arial" w:cs="Arial"/>
                <w:color w:val="000000"/>
                <w:sz w:val="18"/>
                <w:szCs w:val="18"/>
              </w:rPr>
              <w:t xml:space="preserve"> construction revenu</w:t>
            </w:r>
            <w:r w:rsidR="00D74471">
              <w:rPr>
                <w:rFonts w:ascii="Arial" w:hAnsi="Arial" w:cs="Arial"/>
                <w:color w:val="000000"/>
                <w:sz w:val="18"/>
                <w:szCs w:val="18"/>
              </w:rPr>
              <w:t>e and</w:t>
            </w:r>
            <w:r w:rsidRPr="007F7811">
              <w:rPr>
                <w:rFonts w:ascii="Arial" w:hAnsi="Arial" w:cs="Arial"/>
                <w:color w:val="000000"/>
                <w:sz w:val="18"/>
                <w:szCs w:val="18"/>
              </w:rPr>
              <w:t xml:space="preserve"> cost recognition process</w:t>
            </w:r>
            <w:r w:rsidR="00D74471">
              <w:rPr>
                <w:rFonts w:ascii="Arial" w:hAnsi="Arial" w:cs="Arial"/>
                <w:color w:val="000000"/>
                <w:sz w:val="18"/>
                <w:szCs w:val="18"/>
              </w:rPr>
              <w:t xml:space="preserve">. I also </w:t>
            </w:r>
            <w:r w:rsidRPr="007F7811">
              <w:rPr>
                <w:rFonts w:ascii="Arial" w:hAnsi="Arial" w:cs="Arial"/>
                <w:color w:val="000000"/>
                <w:sz w:val="18"/>
                <w:szCs w:val="18"/>
              </w:rPr>
              <w:t>test</w:t>
            </w:r>
            <w:r w:rsidR="00D74471">
              <w:rPr>
                <w:rFonts w:ascii="Arial" w:hAnsi="Arial" w:cs="Arial"/>
                <w:color w:val="000000"/>
                <w:sz w:val="18"/>
                <w:szCs w:val="18"/>
              </w:rPr>
              <w:t>ed</w:t>
            </w:r>
            <w:r w:rsidRPr="007F7811">
              <w:rPr>
                <w:rFonts w:ascii="Arial" w:hAnsi="Arial" w:cs="Arial"/>
                <w:color w:val="000000"/>
                <w:sz w:val="18"/>
                <w:szCs w:val="18"/>
              </w:rPr>
              <w:t xml:space="preserve"> </w:t>
            </w:r>
            <w:r w:rsidR="004871FA">
              <w:rPr>
                <w:rFonts w:ascii="Arial" w:hAnsi="Arial" w:cs="Arial"/>
                <w:color w:val="000000"/>
                <w:sz w:val="18"/>
                <w:szCs w:val="18"/>
              </w:rPr>
              <w:t xml:space="preserve">the effectiveness of </w:t>
            </w:r>
            <w:r w:rsidRPr="007F7811">
              <w:rPr>
                <w:rFonts w:ascii="Arial" w:hAnsi="Arial" w:cs="Arial"/>
                <w:color w:val="000000"/>
                <w:sz w:val="18"/>
                <w:szCs w:val="18"/>
              </w:rPr>
              <w:t xml:space="preserve">internal controls over budgeting relating to the estimated total contract costs. This also included </w:t>
            </w:r>
            <w:r w:rsidRPr="007F7811">
              <w:rPr>
                <w:rFonts w:ascii="Arial" w:hAnsi="Arial" w:cs="Arial"/>
                <w:color w:val="000000"/>
                <w:spacing w:val="-8"/>
                <w:sz w:val="18"/>
                <w:szCs w:val="18"/>
              </w:rPr>
              <w:t>verifying management’s estimated costs to complete</w:t>
            </w:r>
            <w:r w:rsidRPr="007F7811">
              <w:rPr>
                <w:rFonts w:ascii="Arial" w:hAnsi="Arial" w:cs="Arial"/>
                <w:color w:val="000000"/>
                <w:sz w:val="18"/>
                <w:szCs w:val="18"/>
              </w:rPr>
              <w:t xml:space="preserve"> the project by interviewing the project engineer and inspecting the supporting evidence.</w:t>
            </w:r>
          </w:p>
          <w:p w:rsidR="00A03CC9" w:rsidRPr="00635544" w:rsidRDefault="00A03CC9" w:rsidP="00A03CC9">
            <w:pPr>
              <w:spacing w:after="0" w:line="240" w:lineRule="auto"/>
              <w:ind w:left="499" w:right="-15" w:hanging="360"/>
              <w:jc w:val="both"/>
              <w:rPr>
                <w:rFonts w:ascii="Arial" w:hAnsi="Arial" w:cs="Arial"/>
                <w:sz w:val="18"/>
                <w:szCs w:val="18"/>
              </w:rPr>
            </w:pPr>
          </w:p>
          <w:p w:rsidR="00A03CC9" w:rsidRPr="00A03CC9" w:rsidRDefault="004871FA" w:rsidP="00A03CC9">
            <w:pPr>
              <w:pStyle w:val="Default"/>
              <w:numPr>
                <w:ilvl w:val="0"/>
                <w:numId w:val="20"/>
              </w:numPr>
              <w:ind w:left="499"/>
              <w:jc w:val="both"/>
              <w:rPr>
                <w:spacing w:val="-6"/>
                <w:sz w:val="18"/>
                <w:szCs w:val="18"/>
              </w:rPr>
            </w:pPr>
            <w:r>
              <w:rPr>
                <w:spacing w:val="-6"/>
                <w:sz w:val="18"/>
                <w:szCs w:val="18"/>
              </w:rPr>
              <w:t>T</w:t>
            </w:r>
            <w:r w:rsidR="00A03CC9" w:rsidRPr="00A03CC9">
              <w:rPr>
                <w:spacing w:val="-6"/>
                <w:sz w:val="18"/>
                <w:szCs w:val="18"/>
              </w:rPr>
              <w:t xml:space="preserve">esting </w:t>
            </w:r>
            <w:r>
              <w:rPr>
                <w:spacing w:val="-6"/>
                <w:sz w:val="18"/>
                <w:szCs w:val="18"/>
              </w:rPr>
              <w:t xml:space="preserve">the effectiveness of </w:t>
            </w:r>
            <w:r w:rsidR="00A03CC9" w:rsidRPr="00A03CC9">
              <w:rPr>
                <w:spacing w:val="-6"/>
                <w:sz w:val="18"/>
                <w:szCs w:val="18"/>
              </w:rPr>
              <w:t>internal control</w:t>
            </w:r>
            <w:r>
              <w:rPr>
                <w:spacing w:val="-6"/>
                <w:sz w:val="18"/>
                <w:szCs w:val="18"/>
              </w:rPr>
              <w:t>s</w:t>
            </w:r>
            <w:r w:rsidR="00A03CC9" w:rsidRPr="00A03CC9">
              <w:rPr>
                <w:spacing w:val="-6"/>
                <w:sz w:val="18"/>
                <w:szCs w:val="18"/>
              </w:rPr>
              <w:t xml:space="preserve"> relating to the revenue and cost cycle, including the degree of completion of construction and service contracts.</w:t>
            </w:r>
          </w:p>
          <w:p w:rsidR="00A03CC9" w:rsidRPr="00635544" w:rsidRDefault="00A03CC9" w:rsidP="00A03CC9">
            <w:pPr>
              <w:pStyle w:val="ListParagraph"/>
              <w:spacing w:after="0" w:line="240" w:lineRule="auto"/>
              <w:ind w:left="499" w:hanging="360"/>
              <w:jc w:val="both"/>
              <w:rPr>
                <w:rFonts w:ascii="Arial" w:hAnsi="Arial" w:cs="Arial"/>
                <w:sz w:val="18"/>
                <w:szCs w:val="18"/>
              </w:rPr>
            </w:pPr>
          </w:p>
          <w:p w:rsidR="00A03CC9" w:rsidRPr="00635544" w:rsidRDefault="004871FA" w:rsidP="00A03CC9">
            <w:pPr>
              <w:pStyle w:val="Default"/>
              <w:numPr>
                <w:ilvl w:val="0"/>
                <w:numId w:val="20"/>
              </w:numPr>
              <w:ind w:left="499"/>
              <w:jc w:val="both"/>
              <w:rPr>
                <w:sz w:val="18"/>
                <w:szCs w:val="18"/>
              </w:rPr>
            </w:pPr>
            <w:r>
              <w:rPr>
                <w:spacing w:val="-6"/>
                <w:sz w:val="18"/>
                <w:szCs w:val="18"/>
              </w:rPr>
              <w:t>Reading</w:t>
            </w:r>
            <w:r w:rsidR="00A03CC9" w:rsidRPr="00635544">
              <w:rPr>
                <w:spacing w:val="-6"/>
                <w:sz w:val="18"/>
                <w:szCs w:val="18"/>
              </w:rPr>
              <w:t xml:space="preserve"> sample contracts to</w:t>
            </w:r>
            <w:r>
              <w:rPr>
                <w:spacing w:val="-6"/>
                <w:sz w:val="18"/>
                <w:szCs w:val="18"/>
              </w:rPr>
              <w:t xml:space="preserve"> gain</w:t>
            </w:r>
            <w:r w:rsidR="00A03CC9" w:rsidRPr="00635544">
              <w:rPr>
                <w:spacing w:val="-6"/>
                <w:sz w:val="18"/>
                <w:szCs w:val="18"/>
              </w:rPr>
              <w:t xml:space="preserve"> </w:t>
            </w:r>
            <w:r>
              <w:rPr>
                <w:spacing w:val="-6"/>
                <w:sz w:val="18"/>
                <w:szCs w:val="18"/>
              </w:rPr>
              <w:t>understanding and assess</w:t>
            </w:r>
            <w:r w:rsidR="00A03CC9" w:rsidRPr="00635544">
              <w:rPr>
                <w:spacing w:val="-6"/>
                <w:sz w:val="18"/>
                <w:szCs w:val="18"/>
              </w:rPr>
              <w:t xml:space="preserve"> whether</w:t>
            </w:r>
            <w:r w:rsidR="00A03CC9" w:rsidRPr="00635544">
              <w:rPr>
                <w:sz w:val="18"/>
                <w:szCs w:val="18"/>
              </w:rPr>
              <w:t xml:space="preserve"> the revenue recognition method was relevant and </w:t>
            </w:r>
            <w:r w:rsidR="00A03CC9">
              <w:rPr>
                <w:sz w:val="18"/>
                <w:szCs w:val="18"/>
              </w:rPr>
              <w:t>compliant</w:t>
            </w:r>
            <w:r w:rsidR="00A03CC9" w:rsidRPr="00635544">
              <w:rPr>
                <w:sz w:val="18"/>
                <w:szCs w:val="18"/>
              </w:rPr>
              <w:t xml:space="preserve"> with TFRS</w:t>
            </w:r>
            <w:r w:rsidR="00A03CC9">
              <w:rPr>
                <w:sz w:val="18"/>
                <w:szCs w:val="18"/>
              </w:rPr>
              <w:t xml:space="preserve"> </w:t>
            </w:r>
            <w:r w:rsidR="00A03CC9" w:rsidRPr="00635544">
              <w:rPr>
                <w:sz w:val="18"/>
                <w:szCs w:val="18"/>
              </w:rPr>
              <w:t xml:space="preserve">15 and had been </w:t>
            </w:r>
            <w:r w:rsidR="00A03CC9" w:rsidRPr="00635544">
              <w:rPr>
                <w:spacing w:val="-6"/>
                <w:sz w:val="18"/>
                <w:szCs w:val="18"/>
              </w:rPr>
              <w:t>applied consistently. I focused on the allocation</w:t>
            </w:r>
            <w:r w:rsidR="00A03CC9" w:rsidRPr="00635544">
              <w:rPr>
                <w:sz w:val="18"/>
                <w:szCs w:val="18"/>
              </w:rPr>
              <w:t xml:space="preserve"> of income and cost to individual performance obligation and the timing of </w:t>
            </w:r>
            <w:r w:rsidR="00A03CC9">
              <w:rPr>
                <w:sz w:val="18"/>
                <w:szCs w:val="18"/>
              </w:rPr>
              <w:t xml:space="preserve">revenue recognition upon transfer of control of a good or service to a customer. </w:t>
            </w:r>
            <w:r w:rsidR="00A03CC9" w:rsidRPr="00635544">
              <w:rPr>
                <w:sz w:val="18"/>
                <w:szCs w:val="18"/>
              </w:rPr>
              <w:t xml:space="preserve"> Where a contract contained multiple </w:t>
            </w:r>
            <w:r w:rsidR="00A03CC9" w:rsidRPr="00635544">
              <w:rPr>
                <w:spacing w:val="-10"/>
                <w:sz w:val="18"/>
                <w:szCs w:val="18"/>
              </w:rPr>
              <w:t xml:space="preserve">elements, I considered </w:t>
            </w:r>
            <w:r w:rsidR="00A03CC9">
              <w:rPr>
                <w:spacing w:val="-10"/>
                <w:sz w:val="18"/>
                <w:szCs w:val="18"/>
              </w:rPr>
              <w:t xml:space="preserve">the appropriateness of </w:t>
            </w:r>
            <w:r w:rsidR="00A03CC9" w:rsidRPr="00635544">
              <w:rPr>
                <w:spacing w:val="-10"/>
                <w:sz w:val="18"/>
                <w:szCs w:val="18"/>
              </w:rPr>
              <w:t>management’s judgments</w:t>
            </w:r>
            <w:r w:rsidR="00A03CC9" w:rsidRPr="00635544">
              <w:rPr>
                <w:sz w:val="18"/>
                <w:szCs w:val="18"/>
              </w:rPr>
              <w:t xml:space="preserve"> </w:t>
            </w:r>
            <w:r w:rsidR="00A03CC9" w:rsidRPr="00635544">
              <w:rPr>
                <w:spacing w:val="-10"/>
                <w:sz w:val="18"/>
                <w:szCs w:val="18"/>
              </w:rPr>
              <w:t>as to whether the contracts comprised performance</w:t>
            </w:r>
            <w:r w:rsidR="00A03CC9" w:rsidRPr="00635544">
              <w:rPr>
                <w:sz w:val="18"/>
                <w:szCs w:val="18"/>
              </w:rPr>
              <w:t xml:space="preserve"> obligations that should have been accounted for separately</w:t>
            </w:r>
            <w:r w:rsidR="00A03CC9">
              <w:rPr>
                <w:sz w:val="18"/>
                <w:szCs w:val="18"/>
              </w:rPr>
              <w:t>.</w:t>
            </w:r>
          </w:p>
          <w:p w:rsidR="00A03CC9" w:rsidRPr="00635544" w:rsidRDefault="00A03CC9" w:rsidP="00A03CC9">
            <w:pPr>
              <w:pStyle w:val="Default"/>
              <w:ind w:left="499" w:hanging="360"/>
              <w:jc w:val="both"/>
              <w:rPr>
                <w:sz w:val="18"/>
                <w:szCs w:val="18"/>
              </w:rPr>
            </w:pPr>
          </w:p>
          <w:p w:rsidR="00A03CC9" w:rsidRPr="00635544" w:rsidRDefault="00A03CC9" w:rsidP="00A03CC9">
            <w:pPr>
              <w:pStyle w:val="Default"/>
              <w:numPr>
                <w:ilvl w:val="0"/>
                <w:numId w:val="20"/>
              </w:numPr>
              <w:ind w:left="499"/>
              <w:jc w:val="both"/>
              <w:rPr>
                <w:sz w:val="18"/>
                <w:szCs w:val="18"/>
              </w:rPr>
            </w:pPr>
            <w:r w:rsidRPr="00A03CC9">
              <w:rPr>
                <w:spacing w:val="-12"/>
                <w:sz w:val="18"/>
                <w:szCs w:val="18"/>
              </w:rPr>
              <w:t>Examining sample revenues to evaluate management’s</w:t>
            </w:r>
            <w:r w:rsidRPr="00635544">
              <w:rPr>
                <w:sz w:val="18"/>
                <w:szCs w:val="18"/>
              </w:rPr>
              <w:t xml:space="preserve"> significant judgments and estimates in applying the</w:t>
            </w:r>
            <w:r w:rsidR="004871FA">
              <w:rPr>
                <w:sz w:val="18"/>
                <w:szCs w:val="18"/>
              </w:rPr>
              <w:t xml:space="preserve"> accounting policy relating to</w:t>
            </w:r>
            <w:r w:rsidRPr="00635544">
              <w:rPr>
                <w:sz w:val="18"/>
                <w:szCs w:val="18"/>
              </w:rPr>
              <w:t xml:space="preserve"> revenue recognition to separable performance obligations of </w:t>
            </w:r>
            <w:r w:rsidR="0028562B">
              <w:rPr>
                <w:sz w:val="18"/>
                <w:szCs w:val="18"/>
              </w:rPr>
              <w:t xml:space="preserve">construction </w:t>
            </w:r>
            <w:r w:rsidRPr="00635544">
              <w:rPr>
                <w:sz w:val="18"/>
                <w:szCs w:val="18"/>
              </w:rPr>
              <w:t xml:space="preserve">contracts </w:t>
            </w:r>
            <w:r>
              <w:rPr>
                <w:sz w:val="18"/>
                <w:szCs w:val="18"/>
              </w:rPr>
              <w:t xml:space="preserve">at </w:t>
            </w:r>
            <w:r w:rsidRPr="00635544">
              <w:rPr>
                <w:sz w:val="18"/>
                <w:szCs w:val="18"/>
              </w:rPr>
              <w:t>over</w:t>
            </w:r>
            <w:r>
              <w:rPr>
                <w:sz w:val="18"/>
                <w:szCs w:val="18"/>
              </w:rPr>
              <w:t xml:space="preserve"> time, using the following methods:</w:t>
            </w:r>
          </w:p>
          <w:p w:rsidR="00A03CC9" w:rsidRDefault="00A03CC9" w:rsidP="009D7BAC">
            <w:pPr>
              <w:pStyle w:val="Default"/>
              <w:ind w:left="492"/>
              <w:rPr>
                <w:sz w:val="18"/>
                <w:szCs w:val="18"/>
              </w:rPr>
            </w:pPr>
          </w:p>
          <w:p w:rsidR="006E2189" w:rsidRPr="009D7BAC" w:rsidRDefault="00A03CC9" w:rsidP="0028562B">
            <w:pPr>
              <w:pStyle w:val="Default"/>
              <w:tabs>
                <w:tab w:val="left" w:pos="765"/>
              </w:tabs>
              <w:ind w:left="765"/>
              <w:rPr>
                <w:rFonts w:eastAsia="Arial"/>
                <w:sz w:val="18"/>
                <w:szCs w:val="18"/>
              </w:rPr>
            </w:pPr>
            <w:r w:rsidRPr="00635544">
              <w:rPr>
                <w:spacing w:val="-6"/>
                <w:sz w:val="18"/>
                <w:szCs w:val="18"/>
              </w:rPr>
              <w:t xml:space="preserve"> </w:t>
            </w:r>
          </w:p>
        </w:tc>
      </w:tr>
      <w:tr w:rsidR="003F4739" w:rsidRPr="009D7BAC" w:rsidTr="009D7BAC">
        <w:tc>
          <w:tcPr>
            <w:tcW w:w="4617" w:type="dxa"/>
            <w:shd w:val="clear" w:color="auto" w:fill="auto"/>
          </w:tcPr>
          <w:p w:rsidR="003F4739" w:rsidRPr="009D7BAC" w:rsidRDefault="003F4739" w:rsidP="007878B6">
            <w:pPr>
              <w:pStyle w:val="Default"/>
              <w:ind w:right="-15"/>
              <w:jc w:val="both"/>
              <w:rPr>
                <w:noProof/>
                <w:sz w:val="18"/>
                <w:szCs w:val="18"/>
                <w:lang w:eastAsia="en-GB"/>
              </w:rPr>
            </w:pPr>
          </w:p>
        </w:tc>
        <w:tc>
          <w:tcPr>
            <w:tcW w:w="4590" w:type="dxa"/>
            <w:shd w:val="clear" w:color="auto" w:fill="FAFAFA"/>
          </w:tcPr>
          <w:p w:rsidR="003F4739" w:rsidRPr="009D7BAC" w:rsidRDefault="003F4739" w:rsidP="007878B6">
            <w:pPr>
              <w:pStyle w:val="Default"/>
              <w:ind w:right="-15"/>
              <w:jc w:val="both"/>
              <w:rPr>
                <w:spacing w:val="-6"/>
                <w:sz w:val="18"/>
                <w:szCs w:val="18"/>
              </w:rPr>
            </w:pPr>
          </w:p>
        </w:tc>
      </w:tr>
    </w:tbl>
    <w:p w:rsidR="003F4739" w:rsidRPr="009D7BAC" w:rsidRDefault="003F4739">
      <w:pPr>
        <w:rPr>
          <w:rFonts w:ascii="Arial" w:hAnsi="Arial" w:cs="Arial"/>
          <w:sz w:val="18"/>
          <w:szCs w:val="18"/>
        </w:rPr>
        <w:sectPr w:rsidR="003F4739" w:rsidRPr="009D7BAC" w:rsidSect="00DF325F">
          <w:headerReference w:type="default" r:id="rId8"/>
          <w:pgSz w:w="11909" w:h="16834" w:code="9"/>
          <w:pgMar w:top="2880" w:right="720" w:bottom="720" w:left="1987" w:header="706" w:footer="706" w:gutter="0"/>
          <w:cols w:space="708"/>
          <w:docGrid w:linePitch="360"/>
        </w:sectPr>
      </w:pPr>
    </w:p>
    <w:tbl>
      <w:tblPr>
        <w:tblW w:w="9207" w:type="dxa"/>
        <w:tblInd w:w="108" w:type="dxa"/>
        <w:tblBorders>
          <w:bottom w:val="dotted" w:sz="4" w:space="0" w:color="ED7D31"/>
        </w:tblBorders>
        <w:tblLayout w:type="fixed"/>
        <w:tblLook w:val="04A0" w:firstRow="1" w:lastRow="0" w:firstColumn="1" w:lastColumn="0" w:noHBand="0" w:noVBand="1"/>
      </w:tblPr>
      <w:tblGrid>
        <w:gridCol w:w="4617"/>
        <w:gridCol w:w="4590"/>
      </w:tblGrid>
      <w:tr w:rsidR="003F4739" w:rsidRPr="009D7BAC" w:rsidTr="0026286A">
        <w:trPr>
          <w:trHeight w:val="346"/>
        </w:trPr>
        <w:tc>
          <w:tcPr>
            <w:tcW w:w="4617" w:type="dxa"/>
            <w:shd w:val="clear" w:color="auto" w:fill="FFA543"/>
            <w:vAlign w:val="center"/>
          </w:tcPr>
          <w:p w:rsidR="003F4739" w:rsidRPr="009D7BAC" w:rsidRDefault="003F4739" w:rsidP="00826278">
            <w:pPr>
              <w:pStyle w:val="Default"/>
              <w:ind w:right="244"/>
              <w:jc w:val="center"/>
              <w:rPr>
                <w:b/>
                <w:bCs/>
                <w:color w:val="FFFFFF"/>
                <w:sz w:val="18"/>
                <w:szCs w:val="18"/>
              </w:rPr>
            </w:pPr>
            <w:r w:rsidRPr="009D7BAC">
              <w:rPr>
                <w:b/>
                <w:bCs/>
                <w:color w:val="FFFFFF"/>
                <w:sz w:val="18"/>
                <w:szCs w:val="18"/>
              </w:rPr>
              <w:lastRenderedPageBreak/>
              <w:t>Key audit matter</w:t>
            </w:r>
          </w:p>
        </w:tc>
        <w:tc>
          <w:tcPr>
            <w:tcW w:w="4590" w:type="dxa"/>
            <w:shd w:val="clear" w:color="auto" w:fill="FFA543"/>
            <w:vAlign w:val="center"/>
          </w:tcPr>
          <w:p w:rsidR="003F4739" w:rsidRPr="009D7BAC" w:rsidRDefault="003F4739" w:rsidP="00826278">
            <w:pPr>
              <w:pStyle w:val="Default"/>
              <w:jc w:val="center"/>
              <w:rPr>
                <w:b/>
                <w:bCs/>
                <w:color w:val="FFFFFF"/>
                <w:spacing w:val="-4"/>
                <w:sz w:val="18"/>
                <w:szCs w:val="18"/>
              </w:rPr>
            </w:pPr>
            <w:r w:rsidRPr="009D7BAC">
              <w:rPr>
                <w:b/>
                <w:bCs/>
                <w:color w:val="FFFFFF"/>
                <w:spacing w:val="-4"/>
                <w:sz w:val="18"/>
                <w:szCs w:val="18"/>
              </w:rPr>
              <w:t>How my audit addressed the key audit matter</w:t>
            </w:r>
          </w:p>
        </w:tc>
      </w:tr>
      <w:tr w:rsidR="006E2189" w:rsidRPr="009D7BAC" w:rsidTr="0026286A">
        <w:tc>
          <w:tcPr>
            <w:tcW w:w="4617" w:type="dxa"/>
            <w:shd w:val="clear" w:color="auto" w:fill="auto"/>
          </w:tcPr>
          <w:p w:rsidR="006E2189" w:rsidRPr="009D7BAC" w:rsidRDefault="006E2189" w:rsidP="006E2189">
            <w:pPr>
              <w:pStyle w:val="Default"/>
              <w:ind w:right="-15"/>
              <w:jc w:val="both"/>
              <w:rPr>
                <w:noProof/>
                <w:sz w:val="18"/>
                <w:szCs w:val="18"/>
                <w:lang w:eastAsia="en-GB"/>
              </w:rPr>
            </w:pPr>
          </w:p>
        </w:tc>
        <w:tc>
          <w:tcPr>
            <w:tcW w:w="4590" w:type="dxa"/>
            <w:shd w:val="clear" w:color="auto" w:fill="FAFAFA"/>
          </w:tcPr>
          <w:p w:rsidR="006E2189" w:rsidRPr="009D7BAC" w:rsidRDefault="006E2189" w:rsidP="0028562B">
            <w:pPr>
              <w:pStyle w:val="Default"/>
              <w:jc w:val="both"/>
              <w:rPr>
                <w:sz w:val="18"/>
                <w:szCs w:val="18"/>
              </w:rPr>
            </w:pPr>
          </w:p>
          <w:p w:rsidR="006E2189" w:rsidRPr="009D7BAC" w:rsidRDefault="006E2189" w:rsidP="0019087D">
            <w:pPr>
              <w:pStyle w:val="ListParagraph"/>
              <w:spacing w:after="0" w:line="240" w:lineRule="auto"/>
              <w:ind w:left="492"/>
              <w:jc w:val="both"/>
              <w:rPr>
                <w:rFonts w:ascii="Arial" w:hAnsi="Arial" w:cs="Arial"/>
                <w:spacing w:val="-6"/>
                <w:sz w:val="18"/>
                <w:szCs w:val="18"/>
              </w:rPr>
            </w:pPr>
          </w:p>
          <w:p w:rsidR="00A03CC9" w:rsidRPr="007F7811" w:rsidRDefault="00A03CC9" w:rsidP="00A03CC9">
            <w:pPr>
              <w:pStyle w:val="Default"/>
              <w:numPr>
                <w:ilvl w:val="0"/>
                <w:numId w:val="21"/>
              </w:numPr>
              <w:tabs>
                <w:tab w:val="left" w:pos="762"/>
              </w:tabs>
              <w:ind w:left="769" w:hanging="283"/>
              <w:jc w:val="both"/>
              <w:rPr>
                <w:rFonts w:eastAsia="Arial"/>
                <w:sz w:val="18"/>
                <w:szCs w:val="18"/>
              </w:rPr>
            </w:pPr>
            <w:r w:rsidRPr="007F7811">
              <w:rPr>
                <w:rFonts w:eastAsia="Arial"/>
                <w:spacing w:val="-4"/>
                <w:sz w:val="18"/>
                <w:szCs w:val="18"/>
              </w:rPr>
              <w:t xml:space="preserve">Comparing the </w:t>
            </w:r>
            <w:r w:rsidR="004871FA">
              <w:rPr>
                <w:rFonts w:eastAsia="Arial"/>
                <w:spacing w:val="-4"/>
                <w:sz w:val="18"/>
                <w:szCs w:val="18"/>
              </w:rPr>
              <w:t>stage</w:t>
            </w:r>
            <w:r w:rsidRPr="007F7811">
              <w:rPr>
                <w:rFonts w:eastAsia="Arial"/>
                <w:spacing w:val="-4"/>
                <w:sz w:val="18"/>
                <w:szCs w:val="18"/>
              </w:rPr>
              <w:t xml:space="preserve"> of completion</w:t>
            </w:r>
            <w:r w:rsidRPr="007F7811">
              <w:rPr>
                <w:rFonts w:eastAsia="Arial"/>
                <w:spacing w:val="-6"/>
                <w:sz w:val="18"/>
                <w:szCs w:val="18"/>
              </w:rPr>
              <w:t xml:space="preserve"> with the physical proportion</w:t>
            </w:r>
            <w:r w:rsidRPr="007F7811">
              <w:rPr>
                <w:rFonts w:eastAsia="Arial"/>
                <w:sz w:val="18"/>
                <w:szCs w:val="18"/>
              </w:rPr>
              <w:t xml:space="preserve"> of the contract work completed as assessed by project engineers and customers. Then </w:t>
            </w:r>
            <w:r w:rsidRPr="007F7811">
              <w:rPr>
                <w:rFonts w:eastAsia="Arial"/>
                <w:spacing w:val="-6"/>
                <w:sz w:val="18"/>
                <w:szCs w:val="18"/>
              </w:rPr>
              <w:t>considering the differences to determine whether</w:t>
            </w:r>
            <w:r w:rsidRPr="007F7811">
              <w:rPr>
                <w:rFonts w:eastAsia="Arial"/>
                <w:sz w:val="18"/>
                <w:szCs w:val="18"/>
              </w:rPr>
              <w:t xml:space="preserve"> any adjustments were required.</w:t>
            </w:r>
          </w:p>
          <w:p w:rsidR="00A03CC9" w:rsidRPr="007F7811" w:rsidRDefault="00A03CC9" w:rsidP="00A03CC9">
            <w:pPr>
              <w:numPr>
                <w:ilvl w:val="0"/>
                <w:numId w:val="23"/>
              </w:numPr>
              <w:tabs>
                <w:tab w:val="left" w:pos="762"/>
              </w:tabs>
              <w:spacing w:after="0" w:line="240" w:lineRule="auto"/>
              <w:ind w:left="769" w:hanging="283"/>
              <w:contextualSpacing/>
              <w:jc w:val="both"/>
              <w:rPr>
                <w:rFonts w:ascii="Arial" w:eastAsia="Arial" w:hAnsi="Arial" w:cs="Arial"/>
                <w:sz w:val="18"/>
                <w:szCs w:val="18"/>
              </w:rPr>
            </w:pPr>
            <w:r w:rsidRPr="007F7811">
              <w:rPr>
                <w:rFonts w:ascii="Arial" w:eastAsia="Arial" w:hAnsi="Arial" w:cs="Arial"/>
                <w:sz w:val="18"/>
                <w:szCs w:val="18"/>
              </w:rPr>
              <w:t>Testing the actual costs incurred but not yet billed from suppliers or sub-contractors to assess the completeness of costs recorded.</w:t>
            </w:r>
          </w:p>
          <w:p w:rsidR="00A03CC9" w:rsidRPr="007F7811" w:rsidRDefault="00A03CC9" w:rsidP="00A03CC9">
            <w:pPr>
              <w:numPr>
                <w:ilvl w:val="0"/>
                <w:numId w:val="23"/>
              </w:numPr>
              <w:tabs>
                <w:tab w:val="left" w:pos="762"/>
              </w:tabs>
              <w:spacing w:after="0" w:line="240" w:lineRule="auto"/>
              <w:ind w:left="769" w:hanging="283"/>
              <w:contextualSpacing/>
              <w:jc w:val="both"/>
              <w:rPr>
                <w:rFonts w:ascii="Arial" w:eastAsia="Arial" w:hAnsi="Arial" w:cs="Arial"/>
                <w:color w:val="000000"/>
                <w:spacing w:val="-6"/>
                <w:sz w:val="18"/>
                <w:szCs w:val="18"/>
              </w:rPr>
            </w:pPr>
            <w:r w:rsidRPr="007F7811">
              <w:rPr>
                <w:rFonts w:ascii="Arial" w:eastAsia="Arial" w:hAnsi="Arial" w:cs="Arial"/>
                <w:color w:val="000000"/>
                <w:spacing w:val="-6"/>
                <w:sz w:val="18"/>
                <w:szCs w:val="18"/>
              </w:rPr>
              <w:t>Testing calculations</w:t>
            </w:r>
            <w:r w:rsidRPr="007F7811" w:rsidDel="00250393">
              <w:rPr>
                <w:rFonts w:ascii="Arial" w:eastAsia="Arial" w:hAnsi="Arial" w:cs="Arial"/>
                <w:color w:val="000000"/>
                <w:spacing w:val="-6"/>
                <w:sz w:val="18"/>
                <w:szCs w:val="18"/>
              </w:rPr>
              <w:t xml:space="preserve"> </w:t>
            </w:r>
            <w:r w:rsidRPr="007F7811">
              <w:rPr>
                <w:rFonts w:ascii="Arial" w:eastAsia="Arial" w:hAnsi="Arial" w:cs="Arial"/>
                <w:color w:val="000000"/>
                <w:spacing w:val="-6"/>
                <w:sz w:val="18"/>
                <w:szCs w:val="18"/>
              </w:rPr>
              <w:t xml:space="preserve">for the </w:t>
            </w:r>
            <w:r w:rsidR="004871FA">
              <w:rPr>
                <w:rFonts w:ascii="Arial" w:eastAsia="Arial" w:hAnsi="Arial" w:cs="Arial"/>
                <w:color w:val="000000"/>
                <w:spacing w:val="-6"/>
                <w:sz w:val="18"/>
                <w:szCs w:val="18"/>
              </w:rPr>
              <w:t>stage</w:t>
            </w:r>
            <w:r w:rsidRPr="007F7811">
              <w:rPr>
                <w:rFonts w:ascii="Arial" w:eastAsia="Arial" w:hAnsi="Arial" w:cs="Arial"/>
                <w:color w:val="000000"/>
                <w:spacing w:val="-6"/>
                <w:sz w:val="18"/>
                <w:szCs w:val="18"/>
              </w:rPr>
              <w:t xml:space="preserve"> of project completion in the progress report.</w:t>
            </w:r>
          </w:p>
          <w:p w:rsidR="00A03CC9" w:rsidRPr="007F7811" w:rsidRDefault="00A03CC9" w:rsidP="00A03CC9">
            <w:pPr>
              <w:numPr>
                <w:ilvl w:val="0"/>
                <w:numId w:val="23"/>
              </w:numPr>
              <w:tabs>
                <w:tab w:val="left" w:pos="762"/>
              </w:tabs>
              <w:spacing w:after="0" w:line="240" w:lineRule="auto"/>
              <w:ind w:left="769" w:hanging="283"/>
              <w:contextualSpacing/>
              <w:jc w:val="both"/>
              <w:rPr>
                <w:rFonts w:ascii="Arial" w:eastAsia="Arial" w:hAnsi="Arial" w:cs="Arial"/>
                <w:sz w:val="18"/>
                <w:szCs w:val="18"/>
              </w:rPr>
            </w:pPr>
            <w:r w:rsidRPr="007F7811">
              <w:rPr>
                <w:rFonts w:ascii="Arial" w:eastAsia="Arial" w:hAnsi="Arial" w:cs="Arial"/>
                <w:sz w:val="18"/>
                <w:szCs w:val="18"/>
              </w:rPr>
              <w:t>Visiting a site and observing the method engineers used to assess work progress.</w:t>
            </w:r>
          </w:p>
          <w:p w:rsidR="00A03CC9" w:rsidRPr="007F7811" w:rsidRDefault="00A03CC9" w:rsidP="00A03CC9">
            <w:pPr>
              <w:numPr>
                <w:ilvl w:val="0"/>
                <w:numId w:val="23"/>
              </w:numPr>
              <w:tabs>
                <w:tab w:val="left" w:pos="762"/>
              </w:tabs>
              <w:spacing w:after="0" w:line="240" w:lineRule="auto"/>
              <w:ind w:left="769" w:hanging="283"/>
              <w:contextualSpacing/>
              <w:jc w:val="both"/>
              <w:rPr>
                <w:rFonts w:ascii="Arial" w:eastAsia="Arial" w:hAnsi="Arial" w:cs="Arial"/>
                <w:sz w:val="18"/>
                <w:szCs w:val="18"/>
              </w:rPr>
            </w:pPr>
            <w:r w:rsidRPr="007F7811">
              <w:rPr>
                <w:rFonts w:ascii="Arial" w:eastAsia="Arial" w:hAnsi="Arial" w:cs="Arial"/>
                <w:sz w:val="18"/>
                <w:szCs w:val="18"/>
              </w:rPr>
              <w:t xml:space="preserve">Evaluating the reasonableness of the project loss provision set by management. </w:t>
            </w:r>
          </w:p>
          <w:p w:rsidR="00A03CC9" w:rsidRPr="00635544" w:rsidRDefault="00A03CC9" w:rsidP="00A03CC9">
            <w:pPr>
              <w:spacing w:after="0" w:line="240" w:lineRule="auto"/>
              <w:ind w:hanging="4"/>
              <w:contextualSpacing/>
              <w:jc w:val="both"/>
              <w:rPr>
                <w:rFonts w:ascii="Arial" w:hAnsi="Arial" w:cs="Arial"/>
                <w:sz w:val="18"/>
                <w:szCs w:val="18"/>
              </w:rPr>
            </w:pPr>
          </w:p>
          <w:p w:rsidR="006E2189" w:rsidRPr="009D7BAC" w:rsidRDefault="00A03CC9" w:rsidP="008720A9">
            <w:pPr>
              <w:pStyle w:val="Default"/>
              <w:ind w:right="-15" w:hanging="4"/>
              <w:jc w:val="both"/>
              <w:rPr>
                <w:spacing w:val="-6"/>
                <w:sz w:val="18"/>
                <w:szCs w:val="18"/>
              </w:rPr>
            </w:pPr>
            <w:r w:rsidRPr="00635544">
              <w:rPr>
                <w:spacing w:val="-6"/>
                <w:sz w:val="18"/>
                <w:szCs w:val="18"/>
                <w:lang w:eastAsia="en-GB"/>
              </w:rPr>
              <w:t xml:space="preserve">Based on these procedures, I found that the revenue recognition of </w:t>
            </w:r>
            <w:r w:rsidR="0028562B">
              <w:rPr>
                <w:sz w:val="18"/>
                <w:szCs w:val="18"/>
                <w:lang w:eastAsia="en-GB"/>
              </w:rPr>
              <w:t>construction</w:t>
            </w:r>
            <w:r w:rsidRPr="00635544">
              <w:rPr>
                <w:sz w:val="18"/>
                <w:szCs w:val="18"/>
                <w:lang w:eastAsia="en-GB"/>
              </w:rPr>
              <w:t xml:space="preserve"> </w:t>
            </w:r>
            <w:r w:rsidRPr="00635544">
              <w:rPr>
                <w:rFonts w:cs="Browallia New"/>
                <w:sz w:val="18"/>
                <w:szCs w:val="18"/>
                <w:lang w:eastAsia="en-GB"/>
              </w:rPr>
              <w:t>contract</w:t>
            </w:r>
            <w:r w:rsidRPr="00635544">
              <w:rPr>
                <w:sz w:val="18"/>
                <w:szCs w:val="18"/>
                <w:lang w:eastAsia="en-GB"/>
              </w:rPr>
              <w:t xml:space="preserve"> was reasonable and consistent with supporting documents.</w:t>
            </w:r>
          </w:p>
        </w:tc>
      </w:tr>
      <w:tr w:rsidR="006E2189" w:rsidRPr="009D7BAC" w:rsidTr="0026286A">
        <w:tc>
          <w:tcPr>
            <w:tcW w:w="4617" w:type="dxa"/>
            <w:tcBorders>
              <w:bottom w:val="dotted" w:sz="4" w:space="0" w:color="ED7D31"/>
            </w:tcBorders>
            <w:shd w:val="clear" w:color="auto" w:fill="auto"/>
          </w:tcPr>
          <w:p w:rsidR="006E2189" w:rsidRPr="009D7BAC" w:rsidRDefault="006E2189" w:rsidP="006E2189">
            <w:pPr>
              <w:pStyle w:val="Default"/>
              <w:ind w:right="-15"/>
              <w:jc w:val="both"/>
              <w:rPr>
                <w:noProof/>
                <w:sz w:val="18"/>
                <w:szCs w:val="18"/>
                <w:lang w:eastAsia="en-GB"/>
              </w:rPr>
            </w:pPr>
          </w:p>
        </w:tc>
        <w:tc>
          <w:tcPr>
            <w:tcW w:w="4590" w:type="dxa"/>
            <w:tcBorders>
              <w:bottom w:val="dotted" w:sz="4" w:space="0" w:color="ED7D31"/>
            </w:tcBorders>
            <w:shd w:val="clear" w:color="auto" w:fill="FAFAFA"/>
          </w:tcPr>
          <w:p w:rsidR="006E2189" w:rsidRPr="009D7BAC" w:rsidRDefault="006E2189" w:rsidP="006E2189">
            <w:pPr>
              <w:pStyle w:val="Default"/>
              <w:ind w:right="-15"/>
              <w:jc w:val="both"/>
              <w:rPr>
                <w:spacing w:val="-6"/>
                <w:sz w:val="18"/>
                <w:szCs w:val="18"/>
              </w:rPr>
            </w:pPr>
          </w:p>
        </w:tc>
      </w:tr>
    </w:tbl>
    <w:p w:rsidR="00571201" w:rsidRPr="009D7BAC" w:rsidRDefault="00571201" w:rsidP="00571201">
      <w:pPr>
        <w:spacing w:after="0" w:line="240" w:lineRule="auto"/>
        <w:rPr>
          <w:rFonts w:ascii="Arial" w:eastAsia="Arial" w:hAnsi="Arial" w:cs="Arial"/>
          <w:b/>
          <w:bCs/>
          <w:sz w:val="18"/>
          <w:szCs w:val="18"/>
        </w:rPr>
      </w:pPr>
    </w:p>
    <w:p w:rsidR="00571201" w:rsidRPr="009D7BAC" w:rsidRDefault="00571201" w:rsidP="00571201">
      <w:pPr>
        <w:spacing w:after="0" w:line="240" w:lineRule="auto"/>
        <w:rPr>
          <w:rFonts w:ascii="Arial" w:eastAsia="Arial" w:hAnsi="Arial" w:cs="Arial"/>
          <w:b/>
          <w:bCs/>
          <w:sz w:val="18"/>
          <w:szCs w:val="18"/>
        </w:rPr>
        <w:sectPr w:rsidR="00571201" w:rsidRPr="009D7BAC" w:rsidSect="00DF325F">
          <w:pgSz w:w="11909" w:h="16834" w:code="9"/>
          <w:pgMar w:top="2880" w:right="720" w:bottom="720" w:left="1987" w:header="706" w:footer="706" w:gutter="0"/>
          <w:cols w:space="708"/>
          <w:docGrid w:linePitch="360"/>
        </w:sectPr>
      </w:pPr>
    </w:p>
    <w:tbl>
      <w:tblPr>
        <w:tblW w:w="9216" w:type="dxa"/>
        <w:tblInd w:w="108" w:type="dxa"/>
        <w:tblLayout w:type="fixed"/>
        <w:tblLook w:val="04A0" w:firstRow="1" w:lastRow="0" w:firstColumn="1" w:lastColumn="0" w:noHBand="0" w:noVBand="1"/>
      </w:tblPr>
      <w:tblGrid>
        <w:gridCol w:w="4680"/>
        <w:gridCol w:w="4536"/>
      </w:tblGrid>
      <w:tr w:rsidR="00614CAB" w:rsidRPr="009D7BAC" w:rsidTr="0019087D">
        <w:trPr>
          <w:trHeight w:val="346"/>
        </w:trPr>
        <w:tc>
          <w:tcPr>
            <w:tcW w:w="4680" w:type="dxa"/>
            <w:shd w:val="clear" w:color="auto" w:fill="FFA543"/>
            <w:vAlign w:val="center"/>
          </w:tcPr>
          <w:p w:rsidR="00614CAB" w:rsidRPr="009D7BAC" w:rsidRDefault="00614CAB" w:rsidP="00AB1D8D">
            <w:pPr>
              <w:pStyle w:val="Default"/>
              <w:jc w:val="center"/>
              <w:rPr>
                <w:b/>
                <w:bCs/>
                <w:color w:val="FFFFFF"/>
                <w:sz w:val="18"/>
                <w:szCs w:val="18"/>
              </w:rPr>
            </w:pPr>
            <w:r w:rsidRPr="009D7BAC">
              <w:rPr>
                <w:b/>
                <w:bCs/>
                <w:color w:val="FFFFFF"/>
                <w:sz w:val="18"/>
                <w:szCs w:val="18"/>
              </w:rPr>
              <w:lastRenderedPageBreak/>
              <w:t>Key audit matter</w:t>
            </w:r>
          </w:p>
        </w:tc>
        <w:tc>
          <w:tcPr>
            <w:tcW w:w="4536" w:type="dxa"/>
            <w:shd w:val="clear" w:color="auto" w:fill="FFA543"/>
            <w:vAlign w:val="center"/>
          </w:tcPr>
          <w:p w:rsidR="00614CAB" w:rsidRPr="009D7BAC" w:rsidRDefault="00614CAB" w:rsidP="00AB1D8D">
            <w:pPr>
              <w:pStyle w:val="Default"/>
              <w:jc w:val="center"/>
              <w:rPr>
                <w:b/>
                <w:bCs/>
                <w:color w:val="FFFFFF"/>
                <w:sz w:val="18"/>
                <w:szCs w:val="18"/>
              </w:rPr>
            </w:pPr>
            <w:r w:rsidRPr="009D7BAC">
              <w:rPr>
                <w:b/>
                <w:bCs/>
                <w:color w:val="FFFFFF"/>
                <w:sz w:val="18"/>
                <w:szCs w:val="18"/>
              </w:rPr>
              <w:t>How my audit addressed the key audit matter</w:t>
            </w:r>
          </w:p>
        </w:tc>
      </w:tr>
      <w:tr w:rsidR="008702DC" w:rsidRPr="009D7BAC" w:rsidTr="0019087D">
        <w:tc>
          <w:tcPr>
            <w:tcW w:w="4680" w:type="dxa"/>
            <w:shd w:val="clear" w:color="auto" w:fill="auto"/>
          </w:tcPr>
          <w:p w:rsidR="008702DC" w:rsidRPr="009D7BAC" w:rsidRDefault="008702DC" w:rsidP="008702DC">
            <w:pPr>
              <w:pStyle w:val="Default"/>
              <w:jc w:val="thaiDistribute"/>
              <w:rPr>
                <w:sz w:val="18"/>
                <w:szCs w:val="18"/>
              </w:rPr>
            </w:pPr>
          </w:p>
          <w:p w:rsidR="008702DC" w:rsidRPr="009D7BAC" w:rsidRDefault="008702DC" w:rsidP="008702DC">
            <w:pPr>
              <w:pStyle w:val="Default"/>
              <w:jc w:val="thaiDistribute"/>
              <w:rPr>
                <w:b/>
                <w:bCs/>
                <w:sz w:val="18"/>
                <w:szCs w:val="18"/>
              </w:rPr>
            </w:pPr>
            <w:r w:rsidRPr="009D7BAC">
              <w:rPr>
                <w:b/>
                <w:bCs/>
                <w:sz w:val="18"/>
                <w:szCs w:val="18"/>
              </w:rPr>
              <w:t>Assessment of impairment of goodwill</w:t>
            </w:r>
          </w:p>
          <w:p w:rsidR="008702DC" w:rsidRPr="009D7BAC" w:rsidRDefault="008702DC" w:rsidP="008702DC">
            <w:pPr>
              <w:pStyle w:val="Default"/>
              <w:jc w:val="thaiDistribute"/>
              <w:rPr>
                <w:b/>
                <w:bCs/>
                <w:i/>
                <w:iCs/>
                <w:sz w:val="18"/>
                <w:szCs w:val="18"/>
              </w:rPr>
            </w:pPr>
          </w:p>
        </w:tc>
        <w:tc>
          <w:tcPr>
            <w:tcW w:w="4536" w:type="dxa"/>
            <w:shd w:val="clear" w:color="auto" w:fill="FAFAFA"/>
          </w:tcPr>
          <w:p w:rsidR="008702DC" w:rsidRPr="009D7BAC" w:rsidRDefault="008702DC" w:rsidP="008702DC">
            <w:pPr>
              <w:pStyle w:val="Default"/>
              <w:jc w:val="thaiDistribute"/>
              <w:rPr>
                <w:sz w:val="18"/>
                <w:szCs w:val="18"/>
              </w:rPr>
            </w:pPr>
          </w:p>
        </w:tc>
      </w:tr>
      <w:tr w:rsidR="008702DC" w:rsidRPr="009D7BAC" w:rsidTr="0019087D">
        <w:tc>
          <w:tcPr>
            <w:tcW w:w="4680" w:type="dxa"/>
            <w:shd w:val="clear" w:color="auto" w:fill="auto"/>
          </w:tcPr>
          <w:p w:rsidR="00A03CC9" w:rsidRPr="00A03CC9" w:rsidRDefault="00A03CC9" w:rsidP="00A03CC9">
            <w:pPr>
              <w:pStyle w:val="Default"/>
              <w:jc w:val="both"/>
              <w:rPr>
                <w:spacing w:val="-8"/>
                <w:sz w:val="18"/>
                <w:szCs w:val="18"/>
              </w:rPr>
            </w:pPr>
            <w:r w:rsidRPr="00A03CC9">
              <w:rPr>
                <w:spacing w:val="-8"/>
                <w:sz w:val="18"/>
                <w:szCs w:val="18"/>
              </w:rPr>
              <w:t xml:space="preserve">Refer to Note </w:t>
            </w:r>
            <w:r w:rsidR="00AB5DBE">
              <w:rPr>
                <w:spacing w:val="-8"/>
                <w:sz w:val="18"/>
                <w:szCs w:val="18"/>
              </w:rPr>
              <w:t>9</w:t>
            </w:r>
            <w:r w:rsidRPr="00A03CC9">
              <w:rPr>
                <w:spacing w:val="-8"/>
                <w:sz w:val="18"/>
                <w:szCs w:val="18"/>
              </w:rPr>
              <w:t xml:space="preserve"> ‘Critical accounting estimates and judgements related to assessment of impairment of goodwill’ and Note </w:t>
            </w:r>
            <w:r w:rsidR="00AB5DBE">
              <w:rPr>
                <w:spacing w:val="-8"/>
                <w:sz w:val="18"/>
                <w:szCs w:val="18"/>
              </w:rPr>
              <w:t>25</w:t>
            </w:r>
            <w:r w:rsidRPr="00A03CC9">
              <w:rPr>
                <w:spacing w:val="-8"/>
                <w:sz w:val="18"/>
                <w:szCs w:val="18"/>
              </w:rPr>
              <w:t xml:space="preserve"> ‘Goodwill’ to the financial statements.</w:t>
            </w:r>
          </w:p>
          <w:p w:rsidR="00A03CC9" w:rsidRPr="0056374F" w:rsidRDefault="00A03CC9" w:rsidP="00A03CC9">
            <w:pPr>
              <w:pStyle w:val="Default"/>
              <w:jc w:val="both"/>
              <w:rPr>
                <w:sz w:val="18"/>
                <w:szCs w:val="18"/>
              </w:rPr>
            </w:pPr>
          </w:p>
          <w:p w:rsidR="00A03CC9" w:rsidRPr="0056374F" w:rsidRDefault="00A03CC9" w:rsidP="00A03CC9">
            <w:pPr>
              <w:pStyle w:val="Default"/>
              <w:jc w:val="both"/>
              <w:rPr>
                <w:sz w:val="18"/>
                <w:szCs w:val="18"/>
              </w:rPr>
            </w:pPr>
            <w:r w:rsidRPr="00A03CC9">
              <w:rPr>
                <w:spacing w:val="-8"/>
                <w:sz w:val="18"/>
                <w:szCs w:val="18"/>
              </w:rPr>
              <w:t>As at 31 December 2</w:t>
            </w:r>
            <w:r w:rsidR="000F1598">
              <w:rPr>
                <w:spacing w:val="-8"/>
                <w:sz w:val="18"/>
                <w:szCs w:val="18"/>
              </w:rPr>
              <w:t>020</w:t>
            </w:r>
            <w:r w:rsidRPr="00A03CC9">
              <w:rPr>
                <w:spacing w:val="-8"/>
                <w:sz w:val="18"/>
                <w:szCs w:val="18"/>
              </w:rPr>
              <w:t>, goodwill amount of Baht 157.5</w:t>
            </w:r>
            <w:r w:rsidRPr="0056374F">
              <w:rPr>
                <w:sz w:val="18"/>
                <w:szCs w:val="18"/>
              </w:rPr>
              <w:t xml:space="preserve"> </w:t>
            </w:r>
            <w:r w:rsidRPr="008A0540">
              <w:rPr>
                <w:spacing w:val="-9"/>
                <w:sz w:val="18"/>
                <w:szCs w:val="18"/>
              </w:rPr>
              <w:t>million was presented in the consolidated financial statements</w:t>
            </w:r>
            <w:r w:rsidRPr="0056374F">
              <w:rPr>
                <w:sz w:val="18"/>
                <w:szCs w:val="18"/>
              </w:rPr>
              <w:t>.</w:t>
            </w:r>
          </w:p>
          <w:p w:rsidR="00A03CC9" w:rsidRPr="0056374F" w:rsidRDefault="00A03CC9" w:rsidP="00A03CC9">
            <w:pPr>
              <w:pStyle w:val="Default"/>
              <w:jc w:val="both"/>
              <w:rPr>
                <w:sz w:val="18"/>
                <w:szCs w:val="18"/>
              </w:rPr>
            </w:pPr>
          </w:p>
          <w:p w:rsidR="00A03CC9" w:rsidRPr="0056374F" w:rsidRDefault="00A03CC9" w:rsidP="00A03CC9">
            <w:pPr>
              <w:pStyle w:val="Default"/>
              <w:jc w:val="both"/>
              <w:rPr>
                <w:sz w:val="18"/>
                <w:szCs w:val="18"/>
              </w:rPr>
            </w:pPr>
            <w:r w:rsidRPr="00A03CC9">
              <w:rPr>
                <w:spacing w:val="-8"/>
                <w:sz w:val="18"/>
                <w:szCs w:val="18"/>
              </w:rPr>
              <w:t>For the year ended 31 December 20</w:t>
            </w:r>
            <w:r w:rsidR="000F1598">
              <w:rPr>
                <w:spacing w:val="-8"/>
                <w:sz w:val="18"/>
                <w:szCs w:val="18"/>
              </w:rPr>
              <w:t>20</w:t>
            </w:r>
            <w:r w:rsidRPr="00A03CC9">
              <w:rPr>
                <w:spacing w:val="-8"/>
                <w:sz w:val="18"/>
                <w:szCs w:val="18"/>
              </w:rPr>
              <w:t>, the management</w:t>
            </w:r>
            <w:r w:rsidRPr="0056374F">
              <w:rPr>
                <w:sz w:val="18"/>
                <w:szCs w:val="18"/>
              </w:rPr>
              <w:t xml:space="preserve"> </w:t>
            </w:r>
            <w:r w:rsidRPr="0056374F">
              <w:rPr>
                <w:spacing w:val="-6"/>
                <w:sz w:val="18"/>
                <w:szCs w:val="18"/>
              </w:rPr>
              <w:t xml:space="preserve">performed an impairment assessment over </w:t>
            </w:r>
            <w:r w:rsidRPr="0056374F">
              <w:rPr>
                <w:sz w:val="18"/>
                <w:szCs w:val="18"/>
              </w:rPr>
              <w:t>the goodwill balances by:</w:t>
            </w:r>
          </w:p>
          <w:p w:rsidR="00A03CC9" w:rsidRPr="0056374F" w:rsidRDefault="00A03CC9" w:rsidP="00A03CC9">
            <w:pPr>
              <w:pStyle w:val="Default"/>
              <w:jc w:val="both"/>
              <w:rPr>
                <w:sz w:val="18"/>
                <w:szCs w:val="18"/>
              </w:rPr>
            </w:pPr>
          </w:p>
          <w:p w:rsidR="00A03CC9" w:rsidRPr="0056374F" w:rsidRDefault="00A03CC9" w:rsidP="00A03CC9">
            <w:pPr>
              <w:pStyle w:val="Default"/>
              <w:ind w:left="540" w:hanging="270"/>
              <w:jc w:val="both"/>
              <w:rPr>
                <w:sz w:val="18"/>
                <w:szCs w:val="18"/>
              </w:rPr>
            </w:pPr>
            <w:r w:rsidRPr="0056374F">
              <w:rPr>
                <w:sz w:val="18"/>
                <w:szCs w:val="18"/>
              </w:rPr>
              <w:t>1.</w:t>
            </w:r>
            <w:r w:rsidRPr="0056374F">
              <w:rPr>
                <w:sz w:val="18"/>
                <w:szCs w:val="18"/>
              </w:rPr>
              <w:tab/>
              <w:t xml:space="preserve">Calculating the discounted cash flow using a discounted cash flow model for 5 years, with constant terminal growth rate applied from the </w:t>
            </w:r>
            <w:r w:rsidRPr="0056374F">
              <w:rPr>
                <w:sz w:val="18"/>
                <w:szCs w:val="18"/>
              </w:rPr>
              <w:br/>
              <w:t>5</w:t>
            </w:r>
            <w:r w:rsidRPr="0056374F">
              <w:rPr>
                <w:sz w:val="12"/>
                <w:szCs w:val="12"/>
                <w:vertAlign w:val="superscript"/>
              </w:rPr>
              <w:t>th</w:t>
            </w:r>
            <w:r w:rsidRPr="0056374F">
              <w:rPr>
                <w:sz w:val="18"/>
                <w:szCs w:val="18"/>
              </w:rPr>
              <w:t xml:space="preserve"> year onwards. These cash flows were then </w:t>
            </w:r>
            <w:r w:rsidRPr="008A0540">
              <w:rPr>
                <w:spacing w:val="-4"/>
                <w:sz w:val="18"/>
                <w:szCs w:val="18"/>
              </w:rPr>
              <w:t>discounted to net present value using the weighted</w:t>
            </w:r>
            <w:r w:rsidRPr="0056374F">
              <w:rPr>
                <w:sz w:val="18"/>
                <w:szCs w:val="18"/>
              </w:rPr>
              <w:t xml:space="preserve"> average cost of capital; and</w:t>
            </w:r>
          </w:p>
          <w:p w:rsidR="00A03CC9" w:rsidRPr="0056374F" w:rsidRDefault="00A03CC9" w:rsidP="00A03CC9">
            <w:pPr>
              <w:pStyle w:val="Default"/>
              <w:ind w:left="540" w:hanging="270"/>
              <w:jc w:val="both"/>
              <w:rPr>
                <w:sz w:val="18"/>
                <w:szCs w:val="18"/>
              </w:rPr>
            </w:pPr>
          </w:p>
          <w:p w:rsidR="00A03CC9" w:rsidRPr="008A0540" w:rsidRDefault="00A03CC9" w:rsidP="00A03CC9">
            <w:pPr>
              <w:pStyle w:val="Default"/>
              <w:ind w:left="540" w:hanging="270"/>
              <w:jc w:val="both"/>
              <w:rPr>
                <w:spacing w:val="-6"/>
                <w:sz w:val="18"/>
                <w:szCs w:val="18"/>
              </w:rPr>
            </w:pPr>
            <w:r w:rsidRPr="0056374F">
              <w:rPr>
                <w:sz w:val="18"/>
                <w:szCs w:val="18"/>
              </w:rPr>
              <w:t>2.</w:t>
            </w:r>
            <w:r w:rsidRPr="0056374F">
              <w:rPr>
                <w:sz w:val="18"/>
                <w:szCs w:val="18"/>
              </w:rPr>
              <w:tab/>
            </w:r>
            <w:r w:rsidRPr="008A0540">
              <w:rPr>
                <w:sz w:val="18"/>
                <w:szCs w:val="18"/>
              </w:rPr>
              <w:t xml:space="preserve">Comparing the discounted cash flow to their </w:t>
            </w:r>
            <w:r w:rsidRPr="008A0540">
              <w:rPr>
                <w:spacing w:val="-6"/>
                <w:sz w:val="18"/>
                <w:szCs w:val="18"/>
              </w:rPr>
              <w:t xml:space="preserve">respective book values of each cash generating unit. </w:t>
            </w:r>
          </w:p>
          <w:p w:rsidR="00A03CC9" w:rsidRPr="0056374F" w:rsidRDefault="00A03CC9" w:rsidP="00A03CC9">
            <w:pPr>
              <w:pStyle w:val="Default"/>
              <w:jc w:val="both"/>
              <w:rPr>
                <w:sz w:val="18"/>
                <w:szCs w:val="18"/>
              </w:rPr>
            </w:pPr>
          </w:p>
          <w:p w:rsidR="00A03CC9" w:rsidRPr="0056374F" w:rsidRDefault="00A03CC9" w:rsidP="00A03CC9">
            <w:pPr>
              <w:pStyle w:val="Default"/>
              <w:jc w:val="both"/>
              <w:rPr>
                <w:sz w:val="18"/>
                <w:szCs w:val="18"/>
              </w:rPr>
            </w:pPr>
            <w:r w:rsidRPr="0056374F">
              <w:rPr>
                <w:sz w:val="18"/>
                <w:szCs w:val="18"/>
              </w:rPr>
              <w:t xml:space="preserve">Based on the annual impairment test, the management </w:t>
            </w:r>
            <w:r w:rsidRPr="0056374F">
              <w:rPr>
                <w:spacing w:val="-2"/>
                <w:sz w:val="18"/>
                <w:szCs w:val="18"/>
              </w:rPr>
              <w:t xml:space="preserve">identified no allowance for impairment of the </w:t>
            </w:r>
            <w:r w:rsidRPr="0056374F">
              <w:rPr>
                <w:spacing w:val="-8"/>
                <w:sz w:val="18"/>
                <w:szCs w:val="18"/>
              </w:rPr>
              <w:t>goodwill required for additional recognition</w:t>
            </w:r>
            <w:r w:rsidRPr="0056374F">
              <w:rPr>
                <w:sz w:val="18"/>
                <w:szCs w:val="18"/>
              </w:rPr>
              <w:t xml:space="preserve"> during the year. The key assumptions included gross margin, growth rate and discount rate.</w:t>
            </w:r>
          </w:p>
          <w:p w:rsidR="00A03CC9" w:rsidRPr="0056374F" w:rsidRDefault="00A03CC9" w:rsidP="00A03CC9">
            <w:pPr>
              <w:pStyle w:val="Default"/>
              <w:jc w:val="both"/>
              <w:rPr>
                <w:sz w:val="18"/>
                <w:szCs w:val="18"/>
              </w:rPr>
            </w:pPr>
          </w:p>
          <w:p w:rsidR="00A03CC9" w:rsidRPr="0056374F" w:rsidRDefault="00A03CC9" w:rsidP="00A03CC9">
            <w:pPr>
              <w:pStyle w:val="Default"/>
              <w:jc w:val="both"/>
              <w:rPr>
                <w:sz w:val="18"/>
                <w:szCs w:val="18"/>
              </w:rPr>
            </w:pPr>
            <w:r w:rsidRPr="0056374F">
              <w:rPr>
                <w:sz w:val="18"/>
                <w:szCs w:val="18"/>
              </w:rPr>
              <w:t xml:space="preserve">I focused on this area because the assessment of the recognition of loss from impairment in the goodwill were complex based on judgments and assumptions that were affected by expectation of future market and economic conditions, particularly those related to the cash flows forecasts.  </w:t>
            </w:r>
          </w:p>
          <w:p w:rsidR="008702DC" w:rsidRPr="009D7BAC" w:rsidRDefault="008702DC" w:rsidP="008702DC">
            <w:pPr>
              <w:pStyle w:val="Default"/>
              <w:jc w:val="both"/>
              <w:rPr>
                <w:sz w:val="18"/>
                <w:szCs w:val="18"/>
              </w:rPr>
            </w:pPr>
          </w:p>
          <w:p w:rsidR="008702DC" w:rsidRPr="009D7BAC" w:rsidRDefault="008702DC" w:rsidP="008702DC">
            <w:pPr>
              <w:pStyle w:val="Default"/>
              <w:jc w:val="both"/>
              <w:rPr>
                <w:sz w:val="18"/>
                <w:szCs w:val="18"/>
              </w:rPr>
            </w:pPr>
          </w:p>
        </w:tc>
        <w:tc>
          <w:tcPr>
            <w:tcW w:w="4536" w:type="dxa"/>
            <w:shd w:val="clear" w:color="auto" w:fill="FAFAFA"/>
          </w:tcPr>
          <w:p w:rsidR="00A03CC9" w:rsidRPr="008A0540" w:rsidRDefault="00A03CC9" w:rsidP="00A03CC9">
            <w:pPr>
              <w:spacing w:after="0" w:line="240" w:lineRule="auto"/>
              <w:jc w:val="both"/>
              <w:rPr>
                <w:rFonts w:ascii="Arial" w:hAnsi="Arial" w:cs="Arial"/>
                <w:spacing w:val="-2"/>
                <w:sz w:val="18"/>
                <w:szCs w:val="18"/>
              </w:rPr>
            </w:pPr>
            <w:r w:rsidRPr="0056374F">
              <w:rPr>
                <w:rFonts w:ascii="Arial" w:hAnsi="Arial" w:cs="Arial"/>
                <w:spacing w:val="-6"/>
                <w:sz w:val="18"/>
                <w:szCs w:val="18"/>
              </w:rPr>
              <w:t xml:space="preserve">I </w:t>
            </w:r>
            <w:r w:rsidRPr="0056374F">
              <w:rPr>
                <w:rFonts w:ascii="Arial" w:hAnsi="Arial" w:cs="Arial"/>
                <w:sz w:val="18"/>
                <w:szCs w:val="18"/>
              </w:rPr>
              <w:t xml:space="preserve">obtained an understanding </w:t>
            </w:r>
            <w:r w:rsidRPr="0056374F">
              <w:rPr>
                <w:rFonts w:ascii="Arial" w:hAnsi="Arial" w:cs="Arial"/>
                <w:spacing w:val="-2"/>
                <w:sz w:val="18"/>
                <w:szCs w:val="18"/>
              </w:rPr>
              <w:t>over the impairment assessment, and focused</w:t>
            </w:r>
            <w:r w:rsidRPr="0056374F">
              <w:rPr>
                <w:rFonts w:ascii="Arial" w:hAnsi="Arial" w:cs="Arial"/>
                <w:sz w:val="18"/>
                <w:szCs w:val="18"/>
              </w:rPr>
              <w:t xml:space="preserve"> on detailed analysis and challenged the assumptions used by management in </w:t>
            </w:r>
            <w:r w:rsidRPr="008A0540">
              <w:rPr>
                <w:rFonts w:ascii="Arial" w:hAnsi="Arial" w:cs="Arial"/>
                <w:spacing w:val="-2"/>
                <w:sz w:val="18"/>
                <w:szCs w:val="18"/>
              </w:rPr>
              <w:t>conducting the impairment assessment which included:</w:t>
            </w:r>
          </w:p>
          <w:p w:rsidR="00A03CC9" w:rsidRPr="0056374F" w:rsidRDefault="00A03CC9" w:rsidP="00A03CC9">
            <w:pPr>
              <w:pStyle w:val="Default"/>
              <w:jc w:val="both"/>
              <w:rPr>
                <w:sz w:val="18"/>
                <w:szCs w:val="18"/>
                <w:lang w:val="en-US"/>
              </w:rPr>
            </w:pPr>
          </w:p>
          <w:p w:rsidR="00A03CC9" w:rsidRPr="003F7FAC" w:rsidRDefault="00A03CC9" w:rsidP="00A03CC9">
            <w:pPr>
              <w:pStyle w:val="ListParagraph"/>
              <w:numPr>
                <w:ilvl w:val="0"/>
                <w:numId w:val="26"/>
              </w:numPr>
              <w:spacing w:after="0" w:line="240" w:lineRule="auto"/>
              <w:ind w:left="435"/>
              <w:jc w:val="both"/>
              <w:rPr>
                <w:rFonts w:ascii="Arial" w:hAnsi="Arial" w:cs="Arial"/>
                <w:color w:val="000000"/>
                <w:sz w:val="18"/>
                <w:szCs w:val="18"/>
              </w:rPr>
            </w:pPr>
            <w:r w:rsidRPr="003F7FAC">
              <w:rPr>
                <w:rFonts w:ascii="Arial" w:hAnsi="Arial" w:cs="Arial"/>
                <w:color w:val="000000"/>
                <w:sz w:val="18"/>
                <w:szCs w:val="18"/>
              </w:rPr>
              <w:t>Obtaining</w:t>
            </w:r>
            <w:r w:rsidR="003F7FAC" w:rsidRPr="003F7FAC">
              <w:rPr>
                <w:rFonts w:ascii="Arial" w:hAnsi="Arial" w:cs="Arial"/>
                <w:color w:val="000000"/>
                <w:sz w:val="18"/>
                <w:szCs w:val="18"/>
              </w:rPr>
              <w:t xml:space="preserve"> an</w:t>
            </w:r>
            <w:r w:rsidRPr="003F7FAC">
              <w:rPr>
                <w:rFonts w:ascii="Arial" w:hAnsi="Arial" w:cs="Arial"/>
                <w:color w:val="000000"/>
                <w:sz w:val="18"/>
                <w:szCs w:val="18"/>
              </w:rPr>
              <w:t xml:space="preserve"> understanding</w:t>
            </w:r>
            <w:r w:rsidR="003F7FAC" w:rsidRPr="003F7FAC">
              <w:rPr>
                <w:rFonts w:ascii="Arial" w:hAnsi="Arial" w:cs="Arial"/>
                <w:color w:val="000000"/>
                <w:sz w:val="18"/>
                <w:szCs w:val="18"/>
              </w:rPr>
              <w:t xml:space="preserve"> of</w:t>
            </w:r>
            <w:r w:rsidRPr="003F7FAC">
              <w:rPr>
                <w:rFonts w:ascii="Arial" w:hAnsi="Arial" w:cs="Arial"/>
                <w:color w:val="000000"/>
                <w:sz w:val="18"/>
                <w:szCs w:val="18"/>
              </w:rPr>
              <w:t xml:space="preserve"> evaluating and challenging</w:t>
            </w:r>
            <w:r w:rsidRPr="00A03CC9">
              <w:rPr>
                <w:rFonts w:ascii="Arial" w:hAnsi="Arial" w:cs="Arial"/>
                <w:color w:val="000000"/>
                <w:sz w:val="18"/>
                <w:szCs w:val="18"/>
              </w:rPr>
              <w:t xml:space="preserve"> the composition of management’s cash flow forecasts and the process by which they were developed, including testing the mathematical accuracy of the underlying calculations.</w:t>
            </w:r>
          </w:p>
          <w:p w:rsidR="00A03CC9" w:rsidRPr="0056374F" w:rsidRDefault="00A03CC9" w:rsidP="00A03CC9">
            <w:pPr>
              <w:pStyle w:val="Default"/>
              <w:ind w:left="435" w:hanging="360"/>
              <w:jc w:val="both"/>
              <w:rPr>
                <w:sz w:val="18"/>
                <w:szCs w:val="18"/>
              </w:rPr>
            </w:pPr>
          </w:p>
          <w:p w:rsidR="00A03CC9" w:rsidRPr="00A03CC9" w:rsidRDefault="00A03CC9" w:rsidP="00A03CC9">
            <w:pPr>
              <w:pStyle w:val="ListParagraph"/>
              <w:numPr>
                <w:ilvl w:val="0"/>
                <w:numId w:val="26"/>
              </w:numPr>
              <w:spacing w:after="0" w:line="240" w:lineRule="auto"/>
              <w:ind w:left="435"/>
              <w:jc w:val="both"/>
              <w:rPr>
                <w:rFonts w:ascii="Arial" w:hAnsi="Arial" w:cs="Arial"/>
                <w:color w:val="000000"/>
                <w:sz w:val="18"/>
                <w:szCs w:val="18"/>
              </w:rPr>
            </w:pPr>
            <w:r w:rsidRPr="00A03CC9">
              <w:rPr>
                <w:rFonts w:ascii="Arial" w:hAnsi="Arial" w:cs="Arial"/>
                <w:color w:val="000000"/>
                <w:spacing w:val="-8"/>
                <w:sz w:val="18"/>
                <w:szCs w:val="18"/>
              </w:rPr>
              <w:t>Comparing the cash flow forecast to the approved</w:t>
            </w:r>
            <w:r w:rsidRPr="00A03CC9">
              <w:rPr>
                <w:rFonts w:ascii="Arial" w:hAnsi="Arial" w:cs="Arial"/>
                <w:color w:val="000000"/>
                <w:sz w:val="18"/>
                <w:szCs w:val="18"/>
              </w:rPr>
              <w:t xml:space="preserve"> budgets and business plans and other evidence of future intentions. </w:t>
            </w:r>
          </w:p>
          <w:p w:rsidR="00A03CC9" w:rsidRPr="0056374F" w:rsidRDefault="00A03CC9" w:rsidP="00A03CC9">
            <w:pPr>
              <w:spacing w:after="0" w:line="240" w:lineRule="auto"/>
              <w:ind w:left="435" w:hanging="360"/>
              <w:jc w:val="both"/>
              <w:rPr>
                <w:sz w:val="18"/>
                <w:szCs w:val="18"/>
              </w:rPr>
            </w:pPr>
          </w:p>
          <w:p w:rsidR="00A03CC9" w:rsidRPr="00A03CC9" w:rsidRDefault="00A03CC9" w:rsidP="00A03CC9">
            <w:pPr>
              <w:pStyle w:val="ListParagraph"/>
              <w:numPr>
                <w:ilvl w:val="0"/>
                <w:numId w:val="26"/>
              </w:numPr>
              <w:spacing w:after="0" w:line="240" w:lineRule="auto"/>
              <w:ind w:left="435"/>
              <w:jc w:val="both"/>
              <w:rPr>
                <w:sz w:val="18"/>
                <w:szCs w:val="18"/>
              </w:rPr>
            </w:pPr>
            <w:r w:rsidRPr="00A03CC9">
              <w:rPr>
                <w:rFonts w:ascii="Arial" w:hAnsi="Arial" w:cs="Arial"/>
                <w:color w:val="000000"/>
                <w:sz w:val="18"/>
                <w:szCs w:val="18"/>
              </w:rPr>
              <w:t xml:space="preserve">Comparing current year actual results with the figures included in the prior year forecast to </w:t>
            </w:r>
            <w:r w:rsidRPr="00A03CC9">
              <w:rPr>
                <w:rFonts w:ascii="Arial" w:hAnsi="Arial" w:cs="Arial"/>
                <w:color w:val="000000"/>
                <w:spacing w:val="-8"/>
                <w:sz w:val="18"/>
                <w:szCs w:val="18"/>
              </w:rPr>
              <w:t>consider whether the forecasts included assumptions</w:t>
            </w:r>
            <w:r w:rsidRPr="00A03CC9">
              <w:rPr>
                <w:rFonts w:ascii="Arial" w:hAnsi="Arial" w:cs="Arial"/>
                <w:color w:val="000000"/>
                <w:sz w:val="18"/>
                <w:szCs w:val="18"/>
              </w:rPr>
              <w:t xml:space="preserve"> had been reasonable. </w:t>
            </w:r>
          </w:p>
          <w:p w:rsidR="00A03CC9" w:rsidRPr="0056374F" w:rsidRDefault="00A03CC9" w:rsidP="00A03CC9">
            <w:pPr>
              <w:pStyle w:val="Default"/>
              <w:ind w:left="435" w:hanging="360"/>
              <w:jc w:val="both"/>
              <w:rPr>
                <w:sz w:val="18"/>
                <w:szCs w:val="18"/>
              </w:rPr>
            </w:pPr>
          </w:p>
          <w:p w:rsidR="00A03CC9" w:rsidRPr="00A03CC9" w:rsidRDefault="00A03CC9" w:rsidP="00A03CC9">
            <w:pPr>
              <w:pStyle w:val="ListParagraph"/>
              <w:numPr>
                <w:ilvl w:val="0"/>
                <w:numId w:val="26"/>
              </w:numPr>
              <w:spacing w:after="0" w:line="240" w:lineRule="auto"/>
              <w:ind w:left="435"/>
              <w:jc w:val="both"/>
              <w:rPr>
                <w:sz w:val="18"/>
                <w:szCs w:val="18"/>
              </w:rPr>
            </w:pPr>
            <w:r w:rsidRPr="008A0540">
              <w:rPr>
                <w:rFonts w:ascii="Arial" w:hAnsi="Arial" w:cs="Arial"/>
                <w:color w:val="000000"/>
                <w:spacing w:val="-9"/>
                <w:sz w:val="18"/>
                <w:szCs w:val="18"/>
              </w:rPr>
              <w:t>Assessing management's key assumptions, especially</w:t>
            </w:r>
            <w:r w:rsidRPr="00A03CC9">
              <w:rPr>
                <w:rFonts w:ascii="Arial" w:hAnsi="Arial" w:cs="Arial"/>
                <w:color w:val="000000"/>
                <w:sz w:val="18"/>
                <w:szCs w:val="18"/>
              </w:rPr>
              <w:t xml:space="preserve"> </w:t>
            </w:r>
            <w:r w:rsidRPr="008A0540">
              <w:rPr>
                <w:rFonts w:ascii="Arial" w:hAnsi="Arial" w:cs="Arial"/>
                <w:color w:val="000000"/>
                <w:spacing w:val="-2"/>
                <w:sz w:val="18"/>
                <w:szCs w:val="18"/>
              </w:rPr>
              <w:t>gross margin and growth rate by comparing them</w:t>
            </w:r>
            <w:r w:rsidRPr="00A03CC9">
              <w:rPr>
                <w:rFonts w:ascii="Arial" w:hAnsi="Arial" w:cs="Arial"/>
                <w:color w:val="000000"/>
                <w:sz w:val="18"/>
                <w:szCs w:val="18"/>
              </w:rPr>
              <w:t xml:space="preserve"> to historical results and economic and industry outlook. </w:t>
            </w:r>
          </w:p>
          <w:p w:rsidR="00A03CC9" w:rsidRPr="0056374F" w:rsidRDefault="00A03CC9" w:rsidP="00A03CC9">
            <w:pPr>
              <w:spacing w:after="0" w:line="240" w:lineRule="auto"/>
              <w:ind w:left="435" w:hanging="360"/>
              <w:jc w:val="both"/>
              <w:rPr>
                <w:sz w:val="18"/>
                <w:szCs w:val="18"/>
              </w:rPr>
            </w:pPr>
          </w:p>
          <w:p w:rsidR="00A03CC9" w:rsidRPr="008A0540" w:rsidRDefault="00A03CC9" w:rsidP="00A03CC9">
            <w:pPr>
              <w:pStyle w:val="ListParagraph"/>
              <w:numPr>
                <w:ilvl w:val="0"/>
                <w:numId w:val="26"/>
              </w:numPr>
              <w:spacing w:after="0" w:line="240" w:lineRule="auto"/>
              <w:ind w:left="435"/>
              <w:jc w:val="both"/>
              <w:rPr>
                <w:sz w:val="18"/>
                <w:szCs w:val="18"/>
              </w:rPr>
            </w:pPr>
            <w:r w:rsidRPr="00A03CC9">
              <w:rPr>
                <w:rFonts w:ascii="Arial" w:hAnsi="Arial" w:cs="Arial"/>
                <w:color w:val="000000"/>
                <w:sz w:val="18"/>
                <w:szCs w:val="18"/>
              </w:rPr>
              <w:t xml:space="preserve">Testing the parameters used to determine the </w:t>
            </w:r>
            <w:r w:rsidRPr="008A0540">
              <w:rPr>
                <w:rFonts w:ascii="Arial" w:hAnsi="Arial" w:cs="Arial"/>
                <w:color w:val="000000"/>
                <w:sz w:val="18"/>
                <w:szCs w:val="18"/>
              </w:rPr>
              <w:t xml:space="preserve">discount rate applied and re-performed the calculations. </w:t>
            </w:r>
          </w:p>
          <w:p w:rsidR="00A03CC9" w:rsidRPr="0056374F" w:rsidRDefault="00A03CC9" w:rsidP="00A03CC9">
            <w:pPr>
              <w:spacing w:after="0" w:line="240" w:lineRule="auto"/>
              <w:ind w:left="435" w:hanging="360"/>
              <w:jc w:val="both"/>
              <w:rPr>
                <w:sz w:val="18"/>
                <w:szCs w:val="18"/>
              </w:rPr>
            </w:pPr>
          </w:p>
          <w:p w:rsidR="00A03CC9" w:rsidRPr="00A03CC9" w:rsidRDefault="00A03CC9" w:rsidP="00A03CC9">
            <w:pPr>
              <w:pStyle w:val="ListParagraph"/>
              <w:numPr>
                <w:ilvl w:val="0"/>
                <w:numId w:val="26"/>
              </w:numPr>
              <w:spacing w:after="0" w:line="240" w:lineRule="auto"/>
              <w:ind w:left="435"/>
              <w:jc w:val="both"/>
              <w:rPr>
                <w:sz w:val="18"/>
                <w:szCs w:val="18"/>
              </w:rPr>
            </w:pPr>
            <w:r w:rsidRPr="00A03CC9">
              <w:rPr>
                <w:rFonts w:ascii="Arial" w:hAnsi="Arial" w:cs="Arial"/>
                <w:color w:val="000000"/>
                <w:sz w:val="18"/>
                <w:szCs w:val="18"/>
              </w:rPr>
              <w:t>Involving my valuation expert to independently check the expectations</w:t>
            </w:r>
            <w:proofErr w:type="gramStart"/>
            <w:r w:rsidRPr="00A03CC9">
              <w:rPr>
                <w:rFonts w:ascii="Arial" w:hAnsi="Arial" w:cs="Arial"/>
                <w:color w:val="000000"/>
                <w:sz w:val="18"/>
                <w:szCs w:val="18"/>
              </w:rPr>
              <w:t>, in particular, discount</w:t>
            </w:r>
            <w:proofErr w:type="gramEnd"/>
            <w:r w:rsidRPr="00A03CC9">
              <w:rPr>
                <w:rFonts w:ascii="Arial" w:hAnsi="Arial" w:cs="Arial"/>
                <w:color w:val="000000"/>
                <w:sz w:val="18"/>
                <w:szCs w:val="18"/>
              </w:rPr>
              <w:t xml:space="preserve"> </w:t>
            </w:r>
            <w:r w:rsidRPr="00A03CC9">
              <w:rPr>
                <w:rFonts w:ascii="Arial" w:hAnsi="Arial" w:cs="Arial"/>
                <w:color w:val="000000"/>
                <w:spacing w:val="-6"/>
                <w:sz w:val="18"/>
                <w:szCs w:val="18"/>
              </w:rPr>
              <w:t>rates and comparing the independent expectations</w:t>
            </w:r>
            <w:r w:rsidRPr="00A03CC9">
              <w:rPr>
                <w:rFonts w:ascii="Arial" w:hAnsi="Arial" w:cs="Arial"/>
                <w:color w:val="000000"/>
                <w:sz w:val="18"/>
                <w:szCs w:val="18"/>
              </w:rPr>
              <w:t xml:space="preserve"> to those used by management.</w:t>
            </w:r>
          </w:p>
          <w:p w:rsidR="00A03CC9" w:rsidRPr="0056374F" w:rsidRDefault="00A03CC9" w:rsidP="00A03CC9">
            <w:pPr>
              <w:pStyle w:val="Default"/>
              <w:jc w:val="both"/>
              <w:rPr>
                <w:sz w:val="18"/>
                <w:szCs w:val="18"/>
              </w:rPr>
            </w:pPr>
          </w:p>
          <w:p w:rsidR="008702DC" w:rsidRPr="009D7BAC" w:rsidRDefault="00A03CC9" w:rsidP="00A03CC9">
            <w:pPr>
              <w:pStyle w:val="Default"/>
              <w:jc w:val="both"/>
              <w:rPr>
                <w:sz w:val="18"/>
                <w:szCs w:val="18"/>
              </w:rPr>
            </w:pPr>
            <w:r w:rsidRPr="0056374F">
              <w:rPr>
                <w:sz w:val="18"/>
                <w:szCs w:val="18"/>
              </w:rPr>
              <w:t>Based on my procedures above, I considered management’s key assumptions used in assessing of</w:t>
            </w:r>
            <w:r w:rsidRPr="0056374F">
              <w:rPr>
                <w:spacing w:val="-4"/>
                <w:sz w:val="18"/>
                <w:szCs w:val="18"/>
              </w:rPr>
              <w:t xml:space="preserve"> goodwill for impairment</w:t>
            </w:r>
            <w:r w:rsidRPr="0056374F">
              <w:rPr>
                <w:sz w:val="18"/>
                <w:szCs w:val="18"/>
              </w:rPr>
              <w:t xml:space="preserve"> were reasonable based on available evidence.</w:t>
            </w:r>
          </w:p>
        </w:tc>
      </w:tr>
      <w:tr w:rsidR="00614CAB" w:rsidRPr="009D7BAC" w:rsidTr="0019087D">
        <w:tc>
          <w:tcPr>
            <w:tcW w:w="4680" w:type="dxa"/>
            <w:tcBorders>
              <w:bottom w:val="single" w:sz="4" w:space="0" w:color="ED7D31"/>
            </w:tcBorders>
            <w:shd w:val="clear" w:color="auto" w:fill="auto"/>
          </w:tcPr>
          <w:p w:rsidR="00614CAB" w:rsidRPr="009D7BAC" w:rsidRDefault="00614CAB" w:rsidP="00AB1D8D">
            <w:pPr>
              <w:pStyle w:val="Default"/>
              <w:jc w:val="thaiDistribute"/>
              <w:rPr>
                <w:sz w:val="18"/>
                <w:szCs w:val="18"/>
              </w:rPr>
            </w:pPr>
          </w:p>
        </w:tc>
        <w:tc>
          <w:tcPr>
            <w:tcW w:w="4536" w:type="dxa"/>
            <w:tcBorders>
              <w:bottom w:val="single" w:sz="4" w:space="0" w:color="ED7D31"/>
            </w:tcBorders>
            <w:shd w:val="clear" w:color="auto" w:fill="FAFAFA"/>
          </w:tcPr>
          <w:p w:rsidR="00614CAB" w:rsidRPr="009D7BAC" w:rsidRDefault="00614CAB" w:rsidP="00AB1D8D">
            <w:pPr>
              <w:pStyle w:val="Default"/>
              <w:jc w:val="thaiDistribute"/>
              <w:rPr>
                <w:sz w:val="18"/>
                <w:szCs w:val="18"/>
              </w:rPr>
            </w:pPr>
          </w:p>
        </w:tc>
      </w:tr>
    </w:tbl>
    <w:p w:rsidR="00614CAB" w:rsidRPr="009D7BAC" w:rsidRDefault="00614CAB" w:rsidP="0019087D">
      <w:pPr>
        <w:spacing w:after="0" w:line="240" w:lineRule="auto"/>
        <w:rPr>
          <w:rFonts w:ascii="Arial" w:hAnsi="Arial" w:cs="Arial"/>
          <w:sz w:val="18"/>
          <w:szCs w:val="18"/>
        </w:rPr>
      </w:pPr>
    </w:p>
    <w:p w:rsidR="0019087D" w:rsidRDefault="0019087D" w:rsidP="0019087D">
      <w:pPr>
        <w:spacing w:after="0" w:line="240" w:lineRule="auto"/>
        <w:rPr>
          <w:rFonts w:ascii="Arial" w:hAnsi="Arial" w:cs="Arial"/>
          <w:sz w:val="18"/>
          <w:szCs w:val="18"/>
        </w:rPr>
        <w:sectPr w:rsidR="0019087D" w:rsidSect="006C10E4">
          <w:pgSz w:w="11909" w:h="16834" w:code="9"/>
          <w:pgMar w:top="2880" w:right="720" w:bottom="720" w:left="1987" w:header="706" w:footer="706" w:gutter="0"/>
          <w:cols w:space="708"/>
          <w:docGrid w:linePitch="360"/>
        </w:sectPr>
      </w:pPr>
    </w:p>
    <w:p w:rsidR="00246F4F" w:rsidRDefault="000F1598" w:rsidP="00246F4F">
      <w:pPr>
        <w:pStyle w:val="Header"/>
        <w:autoSpaceDE w:val="0"/>
        <w:autoSpaceDN w:val="0"/>
        <w:adjustRightInd w:val="0"/>
        <w:spacing w:line="360" w:lineRule="auto"/>
        <w:jc w:val="thaiDistribute"/>
        <w:rPr>
          <w:rFonts w:ascii="Arial" w:hAnsi="Arial" w:cs="Arial"/>
          <w:b/>
          <w:bCs/>
          <w:color w:val="CF4A02"/>
          <w:sz w:val="18"/>
          <w:szCs w:val="18"/>
        </w:rPr>
      </w:pPr>
      <w:r w:rsidRPr="000F1598">
        <w:rPr>
          <w:rFonts w:ascii="Arial" w:hAnsi="Arial" w:cs="Arial"/>
          <w:b/>
          <w:bCs/>
          <w:color w:val="CF4A02"/>
          <w:sz w:val="18"/>
          <w:szCs w:val="18"/>
        </w:rPr>
        <w:lastRenderedPageBreak/>
        <w:t>Emphasis of matter</w:t>
      </w:r>
    </w:p>
    <w:p w:rsidR="000F1598" w:rsidRPr="007E71C0" w:rsidRDefault="000F1598" w:rsidP="00246F4F">
      <w:pPr>
        <w:pStyle w:val="Header"/>
        <w:autoSpaceDE w:val="0"/>
        <w:autoSpaceDN w:val="0"/>
        <w:adjustRightInd w:val="0"/>
        <w:jc w:val="both"/>
        <w:rPr>
          <w:rFonts w:ascii="Arial" w:hAnsi="Arial" w:cs="Arial"/>
          <w:color w:val="000000"/>
          <w:sz w:val="18"/>
          <w:szCs w:val="18"/>
        </w:rPr>
      </w:pPr>
      <w:r w:rsidRPr="000F1598">
        <w:rPr>
          <w:rFonts w:ascii="Arial" w:hAnsi="Arial" w:cs="Arial"/>
          <w:color w:val="000000"/>
          <w:sz w:val="18"/>
          <w:szCs w:val="18"/>
        </w:rPr>
        <w:t xml:space="preserve">I draw attention to note </w:t>
      </w:r>
      <w:r>
        <w:rPr>
          <w:rFonts w:ascii="Arial" w:hAnsi="Arial" w:cs="Arial"/>
          <w:color w:val="000000"/>
          <w:sz w:val="18"/>
          <w:szCs w:val="18"/>
        </w:rPr>
        <w:t>6</w:t>
      </w:r>
      <w:r w:rsidRPr="000F1598">
        <w:rPr>
          <w:rFonts w:ascii="Arial" w:hAnsi="Arial" w:cs="Arial"/>
          <w:color w:val="000000"/>
          <w:sz w:val="18"/>
          <w:szCs w:val="18"/>
        </w:rPr>
        <w:t xml:space="preserve"> to the consolidated and separate financial statements, which describes the accounting policies in relation to adopting the temporary exemptions announced by the Federation of Accounting Professions to relieve the impact from COVID-19 for the reporting periods ending between 1 January 2020 and 31 December 2020. </w:t>
      </w:r>
      <w:proofErr w:type="gramStart"/>
      <w:r w:rsidRPr="000F1598">
        <w:rPr>
          <w:rFonts w:ascii="Arial" w:hAnsi="Arial" w:cs="Arial"/>
          <w:color w:val="000000"/>
          <w:sz w:val="18"/>
          <w:szCs w:val="18"/>
        </w:rPr>
        <w:t>My opinion is not</w:t>
      </w:r>
      <w:proofErr w:type="gramEnd"/>
      <w:r w:rsidRPr="000F1598">
        <w:rPr>
          <w:rFonts w:ascii="Arial" w:hAnsi="Arial" w:cs="Arial"/>
          <w:color w:val="000000"/>
          <w:sz w:val="18"/>
          <w:szCs w:val="18"/>
        </w:rPr>
        <w:t xml:space="preserve"> modified in respect to this matter.</w:t>
      </w:r>
    </w:p>
    <w:p w:rsidR="000F1598" w:rsidRDefault="000F1598" w:rsidP="0019087D">
      <w:pPr>
        <w:pStyle w:val="Header"/>
        <w:autoSpaceDE w:val="0"/>
        <w:autoSpaceDN w:val="0"/>
        <w:adjustRightInd w:val="0"/>
        <w:spacing w:line="360" w:lineRule="auto"/>
        <w:jc w:val="thaiDistribute"/>
        <w:rPr>
          <w:rFonts w:ascii="Arial" w:hAnsi="Arial" w:cs="Arial"/>
          <w:b/>
          <w:bCs/>
          <w:color w:val="CF4A02"/>
          <w:sz w:val="18"/>
          <w:szCs w:val="18"/>
        </w:rPr>
      </w:pPr>
    </w:p>
    <w:p w:rsidR="005B49D6" w:rsidRDefault="00E07F94" w:rsidP="0019087D">
      <w:pPr>
        <w:pStyle w:val="Header"/>
        <w:autoSpaceDE w:val="0"/>
        <w:autoSpaceDN w:val="0"/>
        <w:adjustRightInd w:val="0"/>
        <w:spacing w:line="360" w:lineRule="auto"/>
        <w:jc w:val="thaiDistribute"/>
        <w:rPr>
          <w:rFonts w:ascii="Arial" w:hAnsi="Arial" w:cs="Arial"/>
          <w:b/>
          <w:bCs/>
          <w:color w:val="CF4A02"/>
          <w:sz w:val="18"/>
          <w:szCs w:val="18"/>
        </w:rPr>
      </w:pPr>
      <w:r w:rsidRPr="009D7BAC">
        <w:rPr>
          <w:rFonts w:ascii="Arial" w:hAnsi="Arial" w:cs="Arial"/>
          <w:b/>
          <w:bCs/>
          <w:color w:val="CF4A02"/>
          <w:sz w:val="18"/>
          <w:szCs w:val="18"/>
        </w:rPr>
        <w:t>Other i</w:t>
      </w:r>
      <w:r w:rsidR="00790517" w:rsidRPr="009D7BAC">
        <w:rPr>
          <w:rFonts w:ascii="Arial" w:hAnsi="Arial" w:cs="Arial"/>
          <w:b/>
          <w:bCs/>
          <w:color w:val="CF4A02"/>
          <w:sz w:val="18"/>
          <w:szCs w:val="18"/>
        </w:rPr>
        <w:t>nformation</w:t>
      </w:r>
    </w:p>
    <w:p w:rsidR="00747C86" w:rsidRPr="009D7BAC" w:rsidRDefault="00922275" w:rsidP="000D55B0">
      <w:pPr>
        <w:pStyle w:val="Default"/>
        <w:jc w:val="thaiDistribute"/>
        <w:rPr>
          <w:sz w:val="18"/>
          <w:szCs w:val="18"/>
        </w:rPr>
      </w:pPr>
      <w:r w:rsidRPr="009D7BAC">
        <w:rPr>
          <w:sz w:val="18"/>
          <w:szCs w:val="18"/>
        </w:rPr>
        <w:t xml:space="preserve">The directors are </w:t>
      </w:r>
      <w:r w:rsidR="00747C86" w:rsidRPr="009D7BAC">
        <w:rPr>
          <w:sz w:val="18"/>
          <w:szCs w:val="18"/>
        </w:rPr>
        <w:t xml:space="preserve">responsible for the other information. The other information comprises the information included in the annual </w:t>
      </w:r>
      <w:proofErr w:type="gramStart"/>
      <w:r w:rsidR="00747C86" w:rsidRPr="009D7BAC">
        <w:rPr>
          <w:sz w:val="18"/>
          <w:szCs w:val="18"/>
        </w:rPr>
        <w:t>report, but</w:t>
      </w:r>
      <w:proofErr w:type="gramEnd"/>
      <w:r w:rsidR="00747C86" w:rsidRPr="009D7BAC">
        <w:rPr>
          <w:sz w:val="18"/>
          <w:szCs w:val="18"/>
        </w:rPr>
        <w:t xml:space="preserve"> does not include the </w:t>
      </w:r>
      <w:r w:rsidR="005237A1" w:rsidRPr="009D7BAC">
        <w:rPr>
          <w:sz w:val="18"/>
          <w:szCs w:val="18"/>
        </w:rPr>
        <w:t>consolidated and</w:t>
      </w:r>
      <w:r w:rsidR="00E507A3" w:rsidRPr="009D7BAC">
        <w:rPr>
          <w:sz w:val="18"/>
          <w:szCs w:val="18"/>
        </w:rPr>
        <w:t xml:space="preserve"> separate</w:t>
      </w:r>
      <w:r w:rsidR="005237A1" w:rsidRPr="009D7BAC">
        <w:rPr>
          <w:sz w:val="18"/>
          <w:szCs w:val="18"/>
        </w:rPr>
        <w:t xml:space="preserve"> </w:t>
      </w:r>
      <w:r w:rsidR="00747C86" w:rsidRPr="009D7BAC">
        <w:rPr>
          <w:sz w:val="18"/>
          <w:szCs w:val="18"/>
        </w:rPr>
        <w:t>financial statements and my auditor’s report thereon</w:t>
      </w:r>
      <w:r w:rsidR="00B91979" w:rsidRPr="009D7BAC">
        <w:rPr>
          <w:sz w:val="18"/>
          <w:szCs w:val="18"/>
        </w:rPr>
        <w:t>.</w:t>
      </w:r>
      <w:r w:rsidR="005237A1" w:rsidRPr="009D7BAC">
        <w:rPr>
          <w:rFonts w:eastAsia="Times New Roman"/>
          <w:kern w:val="24"/>
          <w:sz w:val="18"/>
          <w:szCs w:val="18"/>
        </w:rPr>
        <w:t xml:space="preserve"> </w:t>
      </w:r>
      <w:r w:rsidR="005237A1" w:rsidRPr="009D7BAC">
        <w:rPr>
          <w:sz w:val="18"/>
          <w:szCs w:val="18"/>
        </w:rPr>
        <w:t>The annual report is expected to be made available to me after the date of this auditor's report.</w:t>
      </w:r>
    </w:p>
    <w:p w:rsidR="00B91979" w:rsidRPr="009D7BAC" w:rsidRDefault="00B91979" w:rsidP="000D55B0">
      <w:pPr>
        <w:pStyle w:val="Default"/>
        <w:jc w:val="thaiDistribute"/>
        <w:rPr>
          <w:sz w:val="18"/>
          <w:szCs w:val="18"/>
        </w:rPr>
      </w:pPr>
    </w:p>
    <w:p w:rsidR="00747C86" w:rsidRPr="009D7BAC" w:rsidRDefault="00747C86" w:rsidP="000D55B0">
      <w:pPr>
        <w:pStyle w:val="Default"/>
        <w:jc w:val="thaiDistribute"/>
        <w:rPr>
          <w:sz w:val="18"/>
          <w:szCs w:val="18"/>
        </w:rPr>
      </w:pPr>
      <w:r w:rsidRPr="009D7BAC">
        <w:rPr>
          <w:sz w:val="18"/>
          <w:szCs w:val="18"/>
        </w:rPr>
        <w:t xml:space="preserve">My opinion on the </w:t>
      </w:r>
      <w:r w:rsidR="005237A1" w:rsidRPr="009D7BAC">
        <w:rPr>
          <w:sz w:val="18"/>
          <w:szCs w:val="18"/>
        </w:rPr>
        <w:t xml:space="preserve">consolidated and </w:t>
      </w:r>
      <w:r w:rsidR="00E507A3" w:rsidRPr="009D7BAC">
        <w:rPr>
          <w:sz w:val="18"/>
          <w:szCs w:val="18"/>
        </w:rPr>
        <w:t xml:space="preserve">separate </w:t>
      </w:r>
      <w:r w:rsidRPr="009D7BAC">
        <w:rPr>
          <w:sz w:val="18"/>
          <w:szCs w:val="18"/>
        </w:rPr>
        <w:t xml:space="preserve">financial statements does not cover the other information and I will not express any form of assurance conclusion thereon. </w:t>
      </w:r>
    </w:p>
    <w:p w:rsidR="005237A1" w:rsidRPr="009D7BAC" w:rsidRDefault="005237A1" w:rsidP="000D55B0">
      <w:pPr>
        <w:pStyle w:val="Default"/>
        <w:jc w:val="thaiDistribute"/>
        <w:rPr>
          <w:sz w:val="18"/>
          <w:szCs w:val="18"/>
        </w:rPr>
      </w:pPr>
    </w:p>
    <w:p w:rsidR="005237A1" w:rsidRPr="009D7BAC" w:rsidRDefault="00747C86" w:rsidP="000D55B0">
      <w:pPr>
        <w:pStyle w:val="Default"/>
        <w:jc w:val="thaiDistribute"/>
        <w:rPr>
          <w:sz w:val="18"/>
          <w:szCs w:val="18"/>
        </w:rPr>
      </w:pPr>
      <w:r w:rsidRPr="009D7BAC">
        <w:rPr>
          <w:sz w:val="18"/>
          <w:szCs w:val="18"/>
        </w:rPr>
        <w:t xml:space="preserve">In connection with my audit of the </w:t>
      </w:r>
      <w:r w:rsidR="005237A1" w:rsidRPr="009D7BAC">
        <w:rPr>
          <w:sz w:val="18"/>
          <w:szCs w:val="18"/>
        </w:rPr>
        <w:t xml:space="preserve">consolidated and </w:t>
      </w:r>
      <w:r w:rsidR="00E507A3" w:rsidRPr="009D7BAC">
        <w:rPr>
          <w:sz w:val="18"/>
          <w:szCs w:val="18"/>
        </w:rPr>
        <w:t xml:space="preserve">separate </w:t>
      </w:r>
      <w:r w:rsidRPr="009D7BAC">
        <w:rPr>
          <w:sz w:val="18"/>
          <w:szCs w:val="18"/>
        </w:rPr>
        <w:t xml:space="preserve">financial statements, my responsibility is to read the other information identified above when it becomes available and, in doing so, consider whether the other information is materially inconsistent with the </w:t>
      </w:r>
      <w:r w:rsidR="005237A1" w:rsidRPr="009D7BAC">
        <w:rPr>
          <w:sz w:val="18"/>
          <w:szCs w:val="18"/>
        </w:rPr>
        <w:t xml:space="preserve">consolidated and </w:t>
      </w:r>
      <w:r w:rsidR="00E507A3" w:rsidRPr="009D7BAC">
        <w:rPr>
          <w:sz w:val="18"/>
          <w:szCs w:val="18"/>
        </w:rPr>
        <w:t xml:space="preserve">separate </w:t>
      </w:r>
      <w:r w:rsidRPr="009D7BAC">
        <w:rPr>
          <w:sz w:val="18"/>
          <w:szCs w:val="18"/>
        </w:rPr>
        <w:t xml:space="preserve">financial statements or my knowledge obtained in the audit, or otherwise appears to be materially misstated. </w:t>
      </w:r>
    </w:p>
    <w:p w:rsidR="00BD5FF4" w:rsidRPr="009D7BAC" w:rsidRDefault="00BD5FF4" w:rsidP="000D55B0">
      <w:pPr>
        <w:pStyle w:val="Default"/>
        <w:jc w:val="thaiDistribute"/>
        <w:rPr>
          <w:sz w:val="18"/>
          <w:szCs w:val="18"/>
        </w:rPr>
      </w:pPr>
    </w:p>
    <w:p w:rsidR="00BD5FF4" w:rsidRPr="009D7BAC" w:rsidRDefault="00BD5FF4" w:rsidP="000D55B0">
      <w:pPr>
        <w:pStyle w:val="Default"/>
        <w:jc w:val="thaiDistribute"/>
        <w:rPr>
          <w:sz w:val="18"/>
          <w:szCs w:val="18"/>
        </w:rPr>
      </w:pPr>
      <w:r w:rsidRPr="00A03CC9">
        <w:rPr>
          <w:spacing w:val="-4"/>
          <w:sz w:val="18"/>
          <w:szCs w:val="18"/>
        </w:rPr>
        <w:t>When I read the annual report, if I conclude that there is a</w:t>
      </w:r>
      <w:r w:rsidR="0034029B" w:rsidRPr="00A03CC9">
        <w:rPr>
          <w:spacing w:val="-4"/>
          <w:sz w:val="18"/>
          <w:szCs w:val="18"/>
        </w:rPr>
        <w:t xml:space="preserve"> material misstatement therein,</w:t>
      </w:r>
      <w:r w:rsidR="0034029B" w:rsidRPr="00A03CC9">
        <w:rPr>
          <w:spacing w:val="-4"/>
          <w:sz w:val="18"/>
          <w:szCs w:val="18"/>
          <w:cs/>
        </w:rPr>
        <w:t xml:space="preserve"> </w:t>
      </w:r>
      <w:r w:rsidRPr="00A03CC9">
        <w:rPr>
          <w:spacing w:val="-4"/>
          <w:sz w:val="18"/>
          <w:szCs w:val="18"/>
        </w:rPr>
        <w:t>I am required to communicate</w:t>
      </w:r>
      <w:r w:rsidRPr="009D7BAC">
        <w:rPr>
          <w:sz w:val="18"/>
          <w:szCs w:val="18"/>
        </w:rPr>
        <w:t xml:space="preserve"> the matter to </w:t>
      </w:r>
      <w:r w:rsidR="00E507A3" w:rsidRPr="009D7BAC">
        <w:rPr>
          <w:sz w:val="18"/>
          <w:szCs w:val="18"/>
        </w:rPr>
        <w:t xml:space="preserve">the </w:t>
      </w:r>
      <w:r w:rsidR="008E0FC2" w:rsidRPr="009D7BAC">
        <w:rPr>
          <w:sz w:val="18"/>
          <w:szCs w:val="18"/>
        </w:rPr>
        <w:t>audit committee</w:t>
      </w:r>
      <w:r w:rsidR="00BF792E" w:rsidRPr="009D7BAC">
        <w:rPr>
          <w:sz w:val="18"/>
          <w:szCs w:val="18"/>
        </w:rPr>
        <w:t>.</w:t>
      </w:r>
    </w:p>
    <w:p w:rsidR="00747C86" w:rsidRPr="009D7BAC" w:rsidRDefault="00747C86" w:rsidP="000D55B0">
      <w:pPr>
        <w:pStyle w:val="Default"/>
        <w:jc w:val="thaiDistribute"/>
        <w:rPr>
          <w:b/>
          <w:bCs/>
          <w:sz w:val="18"/>
          <w:szCs w:val="18"/>
        </w:rPr>
      </w:pPr>
    </w:p>
    <w:p w:rsidR="00790517" w:rsidRPr="009D7BAC" w:rsidRDefault="00790517" w:rsidP="0026286A">
      <w:pPr>
        <w:pStyle w:val="Header"/>
        <w:autoSpaceDE w:val="0"/>
        <w:autoSpaceDN w:val="0"/>
        <w:adjustRightInd w:val="0"/>
        <w:spacing w:line="360" w:lineRule="auto"/>
        <w:jc w:val="thaiDistribute"/>
        <w:rPr>
          <w:rFonts w:ascii="Arial" w:hAnsi="Arial" w:cs="Arial"/>
          <w:b/>
          <w:bCs/>
          <w:color w:val="CF4A02"/>
          <w:sz w:val="18"/>
          <w:szCs w:val="18"/>
        </w:rPr>
      </w:pPr>
      <w:r w:rsidRPr="009D7BAC">
        <w:rPr>
          <w:rFonts w:ascii="Arial" w:hAnsi="Arial" w:cs="Arial"/>
          <w:b/>
          <w:bCs/>
          <w:color w:val="CF4A02"/>
          <w:sz w:val="18"/>
          <w:szCs w:val="18"/>
        </w:rPr>
        <w:t xml:space="preserve">Responsibilities of </w:t>
      </w:r>
      <w:r w:rsidR="00E507A3" w:rsidRPr="009D7BAC">
        <w:rPr>
          <w:rFonts w:ascii="Arial" w:hAnsi="Arial" w:cs="Arial"/>
          <w:b/>
          <w:bCs/>
          <w:color w:val="CF4A02"/>
          <w:sz w:val="18"/>
          <w:szCs w:val="18"/>
        </w:rPr>
        <w:t xml:space="preserve">the directors </w:t>
      </w:r>
      <w:r w:rsidRPr="009D7BAC">
        <w:rPr>
          <w:rFonts w:ascii="Arial" w:hAnsi="Arial" w:cs="Arial"/>
          <w:b/>
          <w:bCs/>
          <w:color w:val="CF4A02"/>
          <w:sz w:val="18"/>
          <w:szCs w:val="18"/>
        </w:rPr>
        <w:t xml:space="preserve">for the </w:t>
      </w:r>
      <w:r w:rsidR="00E07F94" w:rsidRPr="009D7BAC">
        <w:rPr>
          <w:rFonts w:ascii="Arial" w:hAnsi="Arial" w:cs="Arial"/>
          <w:b/>
          <w:bCs/>
          <w:color w:val="CF4A02"/>
          <w:sz w:val="18"/>
          <w:szCs w:val="18"/>
        </w:rPr>
        <w:t>c</w:t>
      </w:r>
      <w:r w:rsidR="00BD5FF4" w:rsidRPr="009D7BAC">
        <w:rPr>
          <w:rFonts w:ascii="Arial" w:hAnsi="Arial" w:cs="Arial"/>
          <w:b/>
          <w:bCs/>
          <w:color w:val="CF4A02"/>
          <w:sz w:val="18"/>
          <w:szCs w:val="18"/>
        </w:rPr>
        <w:t xml:space="preserve">onsolidated and </w:t>
      </w:r>
      <w:r w:rsidR="00E07F94" w:rsidRPr="009D7BAC">
        <w:rPr>
          <w:rFonts w:ascii="Arial" w:hAnsi="Arial" w:cs="Arial"/>
          <w:b/>
          <w:bCs/>
          <w:color w:val="CF4A02"/>
          <w:sz w:val="18"/>
          <w:szCs w:val="18"/>
        </w:rPr>
        <w:t>s</w:t>
      </w:r>
      <w:r w:rsidR="00E507A3" w:rsidRPr="009D7BAC">
        <w:rPr>
          <w:rFonts w:ascii="Arial" w:hAnsi="Arial" w:cs="Arial"/>
          <w:b/>
          <w:bCs/>
          <w:color w:val="CF4A02"/>
          <w:sz w:val="18"/>
          <w:szCs w:val="18"/>
        </w:rPr>
        <w:t xml:space="preserve">eparate </w:t>
      </w:r>
      <w:r w:rsidR="00E07F94" w:rsidRPr="009D7BAC">
        <w:rPr>
          <w:rFonts w:ascii="Arial" w:hAnsi="Arial" w:cs="Arial"/>
          <w:b/>
          <w:bCs/>
          <w:color w:val="CF4A02"/>
          <w:sz w:val="18"/>
          <w:szCs w:val="18"/>
        </w:rPr>
        <w:t>f</w:t>
      </w:r>
      <w:r w:rsidRPr="009D7BAC">
        <w:rPr>
          <w:rFonts w:ascii="Arial" w:hAnsi="Arial" w:cs="Arial"/>
          <w:b/>
          <w:bCs/>
          <w:color w:val="CF4A02"/>
          <w:sz w:val="18"/>
          <w:szCs w:val="18"/>
        </w:rPr>
        <w:t xml:space="preserve">inancial </w:t>
      </w:r>
      <w:r w:rsidR="00E07F94" w:rsidRPr="009D7BAC">
        <w:rPr>
          <w:rFonts w:ascii="Arial" w:hAnsi="Arial" w:cs="Arial"/>
          <w:b/>
          <w:bCs/>
          <w:color w:val="CF4A02"/>
          <w:sz w:val="18"/>
          <w:szCs w:val="18"/>
        </w:rPr>
        <w:t>s</w:t>
      </w:r>
      <w:r w:rsidRPr="009D7BAC">
        <w:rPr>
          <w:rFonts w:ascii="Arial" w:hAnsi="Arial" w:cs="Arial"/>
          <w:b/>
          <w:bCs/>
          <w:color w:val="CF4A02"/>
          <w:sz w:val="18"/>
          <w:szCs w:val="18"/>
        </w:rPr>
        <w:t xml:space="preserve">tatements </w:t>
      </w:r>
    </w:p>
    <w:p w:rsidR="00B91979" w:rsidRPr="009D7BAC" w:rsidRDefault="00E507A3" w:rsidP="000D55B0">
      <w:pPr>
        <w:spacing w:after="0" w:line="240" w:lineRule="auto"/>
        <w:jc w:val="thaiDistribute"/>
        <w:rPr>
          <w:rFonts w:ascii="Arial" w:hAnsi="Arial" w:cs="Arial"/>
          <w:sz w:val="18"/>
          <w:szCs w:val="18"/>
        </w:rPr>
      </w:pPr>
      <w:r w:rsidRPr="009D7BAC">
        <w:rPr>
          <w:rFonts w:ascii="Arial" w:hAnsi="Arial" w:cs="Arial"/>
          <w:sz w:val="18"/>
          <w:szCs w:val="18"/>
        </w:rPr>
        <w:t>The directors are</w:t>
      </w:r>
      <w:r w:rsidR="00B91979" w:rsidRPr="009D7BAC">
        <w:rPr>
          <w:rFonts w:ascii="Arial" w:hAnsi="Arial" w:cs="Arial"/>
          <w:sz w:val="18"/>
          <w:szCs w:val="18"/>
        </w:rPr>
        <w:t xml:space="preserve"> responsible for the preparation and fair presentation of the </w:t>
      </w:r>
      <w:r w:rsidR="00BD5FF4" w:rsidRPr="009D7BAC">
        <w:rPr>
          <w:rFonts w:ascii="Arial" w:hAnsi="Arial" w:cs="Arial"/>
          <w:sz w:val="18"/>
          <w:szCs w:val="18"/>
        </w:rPr>
        <w:t xml:space="preserve">consolidated and </w:t>
      </w:r>
      <w:r w:rsidR="00D0685C" w:rsidRPr="009D7BAC">
        <w:rPr>
          <w:rFonts w:ascii="Arial" w:hAnsi="Arial" w:cs="Arial"/>
          <w:sz w:val="18"/>
          <w:szCs w:val="18"/>
        </w:rPr>
        <w:t xml:space="preserve">separate </w:t>
      </w:r>
      <w:r w:rsidR="00B91979" w:rsidRPr="009D7BAC">
        <w:rPr>
          <w:rFonts w:ascii="Arial" w:hAnsi="Arial" w:cs="Arial"/>
          <w:sz w:val="18"/>
          <w:szCs w:val="18"/>
        </w:rPr>
        <w:t>financial statements in accordance</w:t>
      </w:r>
      <w:r w:rsidR="005B1E87" w:rsidRPr="009D7BAC">
        <w:rPr>
          <w:rFonts w:ascii="Arial" w:hAnsi="Arial" w:cs="Arial"/>
          <w:sz w:val="18"/>
          <w:szCs w:val="18"/>
        </w:rPr>
        <w:t xml:space="preserve"> </w:t>
      </w:r>
      <w:r w:rsidR="00B91979" w:rsidRPr="009D7BAC">
        <w:rPr>
          <w:rFonts w:ascii="Arial" w:hAnsi="Arial" w:cs="Arial"/>
          <w:sz w:val="18"/>
          <w:szCs w:val="18"/>
        </w:rPr>
        <w:t xml:space="preserve">with TFRS, and for such internal control as </w:t>
      </w:r>
      <w:r w:rsidR="00D0685C" w:rsidRPr="009D7BAC">
        <w:rPr>
          <w:rFonts w:ascii="Arial" w:hAnsi="Arial" w:cs="Arial"/>
          <w:sz w:val="18"/>
          <w:szCs w:val="18"/>
        </w:rPr>
        <w:t xml:space="preserve">the directors </w:t>
      </w:r>
      <w:r w:rsidR="00B91979" w:rsidRPr="009D7BAC">
        <w:rPr>
          <w:rFonts w:ascii="Arial" w:hAnsi="Arial" w:cs="Arial"/>
          <w:sz w:val="18"/>
          <w:szCs w:val="18"/>
        </w:rPr>
        <w:t xml:space="preserve">determine is necessary to enable the preparation of </w:t>
      </w:r>
      <w:r w:rsidR="00BD5FF4" w:rsidRPr="009D7BAC">
        <w:rPr>
          <w:rFonts w:ascii="Arial" w:hAnsi="Arial" w:cs="Arial"/>
          <w:sz w:val="18"/>
          <w:szCs w:val="18"/>
        </w:rPr>
        <w:t xml:space="preserve">consolidated and </w:t>
      </w:r>
      <w:r w:rsidR="00D0685C" w:rsidRPr="009D7BAC">
        <w:rPr>
          <w:rFonts w:ascii="Arial" w:hAnsi="Arial" w:cs="Arial"/>
          <w:sz w:val="18"/>
          <w:szCs w:val="18"/>
        </w:rPr>
        <w:t xml:space="preserve">separate </w:t>
      </w:r>
      <w:r w:rsidR="00B91979" w:rsidRPr="009D7BAC">
        <w:rPr>
          <w:rFonts w:ascii="Arial" w:hAnsi="Arial" w:cs="Arial"/>
          <w:sz w:val="18"/>
          <w:szCs w:val="18"/>
        </w:rPr>
        <w:t xml:space="preserve">financial statements that are free from material misstatement, whether due to fraud or error. </w:t>
      </w:r>
    </w:p>
    <w:p w:rsidR="00B91979" w:rsidRPr="009D7BAC" w:rsidRDefault="00B91979" w:rsidP="001E766A">
      <w:pPr>
        <w:pStyle w:val="Default"/>
        <w:jc w:val="thaiDistribute"/>
        <w:rPr>
          <w:b/>
          <w:bCs/>
          <w:color w:val="auto"/>
          <w:sz w:val="18"/>
          <w:szCs w:val="18"/>
        </w:rPr>
      </w:pPr>
    </w:p>
    <w:p w:rsidR="00B91979" w:rsidRPr="009D7BAC" w:rsidRDefault="00B91979" w:rsidP="000D55B0">
      <w:pPr>
        <w:spacing w:after="0" w:line="240" w:lineRule="auto"/>
        <w:jc w:val="thaiDistribute"/>
        <w:rPr>
          <w:rFonts w:ascii="Arial" w:hAnsi="Arial" w:cs="Arial"/>
          <w:sz w:val="18"/>
          <w:szCs w:val="18"/>
        </w:rPr>
      </w:pPr>
      <w:r w:rsidRPr="009D7BAC">
        <w:rPr>
          <w:rFonts w:ascii="Arial" w:hAnsi="Arial" w:cs="Arial"/>
          <w:sz w:val="18"/>
          <w:szCs w:val="18"/>
        </w:rPr>
        <w:t xml:space="preserve">In preparing the </w:t>
      </w:r>
      <w:r w:rsidR="00BD5FF4" w:rsidRPr="009D7BAC">
        <w:rPr>
          <w:rFonts w:ascii="Arial" w:hAnsi="Arial" w:cs="Arial"/>
          <w:sz w:val="18"/>
          <w:szCs w:val="18"/>
        </w:rPr>
        <w:t xml:space="preserve">consolidated and </w:t>
      </w:r>
      <w:r w:rsidR="00D0685C" w:rsidRPr="009D7BAC">
        <w:rPr>
          <w:rFonts w:ascii="Arial" w:hAnsi="Arial" w:cs="Arial"/>
          <w:sz w:val="18"/>
          <w:szCs w:val="18"/>
        </w:rPr>
        <w:t xml:space="preserve">separate </w:t>
      </w:r>
      <w:r w:rsidRPr="009D7BAC">
        <w:rPr>
          <w:rFonts w:ascii="Arial" w:hAnsi="Arial" w:cs="Arial"/>
          <w:sz w:val="18"/>
          <w:szCs w:val="18"/>
        </w:rPr>
        <w:t xml:space="preserve">financial statements, </w:t>
      </w:r>
      <w:r w:rsidR="00D0685C" w:rsidRPr="009D7BAC">
        <w:rPr>
          <w:rFonts w:ascii="Arial" w:hAnsi="Arial" w:cs="Arial"/>
          <w:sz w:val="18"/>
          <w:szCs w:val="18"/>
        </w:rPr>
        <w:t>the directors are</w:t>
      </w:r>
      <w:r w:rsidRPr="009D7BAC">
        <w:rPr>
          <w:rFonts w:ascii="Arial" w:hAnsi="Arial" w:cs="Arial"/>
          <w:sz w:val="18"/>
          <w:szCs w:val="18"/>
        </w:rPr>
        <w:t xml:space="preserve"> responsible for assessing the </w:t>
      </w:r>
      <w:r w:rsidR="00BD5FF4" w:rsidRPr="009D7BAC">
        <w:rPr>
          <w:rFonts w:ascii="Arial" w:hAnsi="Arial" w:cs="Arial"/>
          <w:sz w:val="18"/>
          <w:szCs w:val="18"/>
        </w:rPr>
        <w:t>Group</w:t>
      </w:r>
      <w:r w:rsidR="00DE096E">
        <w:rPr>
          <w:rFonts w:ascii="Arial" w:hAnsi="Arial" w:cs="Arial"/>
          <w:sz w:val="18"/>
          <w:szCs w:val="18"/>
        </w:rPr>
        <w:t>’s</w:t>
      </w:r>
      <w:r w:rsidR="00BD5FF4" w:rsidRPr="009D7BAC">
        <w:rPr>
          <w:rFonts w:ascii="Arial" w:hAnsi="Arial" w:cs="Arial"/>
          <w:sz w:val="18"/>
          <w:szCs w:val="18"/>
        </w:rPr>
        <w:t xml:space="preserve"> and </w:t>
      </w:r>
      <w:r w:rsidRPr="009D7BAC">
        <w:rPr>
          <w:rFonts w:ascii="Arial" w:hAnsi="Arial" w:cs="Arial"/>
          <w:sz w:val="18"/>
          <w:szCs w:val="18"/>
        </w:rPr>
        <w:t xml:space="preserve">Company’s ability to continue as a going concern, disclosing, as applicable, matters related to going concern and using the going concern basis of accounting unless </w:t>
      </w:r>
      <w:r w:rsidR="00DB44FA" w:rsidRPr="009D7BAC">
        <w:rPr>
          <w:rFonts w:ascii="Arial" w:hAnsi="Arial" w:cs="Arial"/>
          <w:sz w:val="18"/>
          <w:szCs w:val="18"/>
        </w:rPr>
        <w:t xml:space="preserve">the directors </w:t>
      </w:r>
      <w:r w:rsidRPr="009D7BAC">
        <w:rPr>
          <w:rFonts w:ascii="Arial" w:hAnsi="Arial" w:cs="Arial"/>
          <w:sz w:val="18"/>
          <w:szCs w:val="18"/>
        </w:rPr>
        <w:t xml:space="preserve">either intend to liquidate the </w:t>
      </w:r>
      <w:r w:rsidR="00BD5FF4" w:rsidRPr="009D7BAC">
        <w:rPr>
          <w:rFonts w:ascii="Arial" w:hAnsi="Arial" w:cs="Arial"/>
          <w:sz w:val="18"/>
          <w:szCs w:val="18"/>
        </w:rPr>
        <w:t xml:space="preserve">Group </w:t>
      </w:r>
      <w:r w:rsidR="00900250" w:rsidRPr="009D7BAC">
        <w:rPr>
          <w:rFonts w:ascii="Arial" w:hAnsi="Arial" w:cs="Arial"/>
          <w:sz w:val="18"/>
          <w:szCs w:val="18"/>
        </w:rPr>
        <w:t>and</w:t>
      </w:r>
      <w:r w:rsidR="00BD5FF4" w:rsidRPr="009D7BAC">
        <w:rPr>
          <w:rFonts w:ascii="Arial" w:hAnsi="Arial" w:cs="Arial"/>
          <w:sz w:val="18"/>
          <w:szCs w:val="18"/>
        </w:rPr>
        <w:t xml:space="preserve"> </w:t>
      </w:r>
      <w:r w:rsidRPr="009D7BAC">
        <w:rPr>
          <w:rFonts w:ascii="Arial" w:hAnsi="Arial" w:cs="Arial"/>
          <w:sz w:val="18"/>
          <w:szCs w:val="18"/>
        </w:rPr>
        <w:t>Company or to cease operations, or has no realistic alternative but to do so.</w:t>
      </w:r>
    </w:p>
    <w:p w:rsidR="00B91979" w:rsidRPr="009D7BAC" w:rsidRDefault="00B91979" w:rsidP="001E766A">
      <w:pPr>
        <w:pStyle w:val="Default"/>
        <w:jc w:val="thaiDistribute"/>
        <w:rPr>
          <w:b/>
          <w:bCs/>
          <w:color w:val="auto"/>
          <w:sz w:val="18"/>
          <w:szCs w:val="18"/>
        </w:rPr>
      </w:pPr>
    </w:p>
    <w:p w:rsidR="00B91979" w:rsidRPr="009D7BAC" w:rsidRDefault="00E07F94" w:rsidP="000D55B0">
      <w:pPr>
        <w:spacing w:after="0" w:line="240" w:lineRule="auto"/>
        <w:jc w:val="thaiDistribute"/>
        <w:rPr>
          <w:rFonts w:ascii="Arial" w:hAnsi="Arial" w:cs="Arial"/>
          <w:spacing w:val="-2"/>
          <w:sz w:val="18"/>
          <w:szCs w:val="18"/>
        </w:rPr>
      </w:pPr>
      <w:r w:rsidRPr="009D7BAC">
        <w:rPr>
          <w:rFonts w:ascii="Arial" w:hAnsi="Arial" w:cs="Arial"/>
          <w:spacing w:val="-2"/>
          <w:sz w:val="18"/>
          <w:szCs w:val="18"/>
        </w:rPr>
        <w:t>The a</w:t>
      </w:r>
      <w:r w:rsidR="006651E7" w:rsidRPr="009D7BAC">
        <w:rPr>
          <w:rFonts w:ascii="Arial" w:hAnsi="Arial" w:cs="Arial"/>
          <w:spacing w:val="-2"/>
          <w:sz w:val="18"/>
          <w:szCs w:val="18"/>
        </w:rPr>
        <w:t xml:space="preserve">udit </w:t>
      </w:r>
      <w:r w:rsidRPr="009D7BAC">
        <w:rPr>
          <w:rFonts w:ascii="Arial" w:hAnsi="Arial" w:cs="Arial"/>
          <w:spacing w:val="-2"/>
          <w:sz w:val="18"/>
          <w:szCs w:val="18"/>
        </w:rPr>
        <w:t>c</w:t>
      </w:r>
      <w:r w:rsidR="006651E7" w:rsidRPr="009D7BAC">
        <w:rPr>
          <w:rFonts w:ascii="Arial" w:hAnsi="Arial" w:cs="Arial"/>
          <w:spacing w:val="-2"/>
          <w:sz w:val="18"/>
          <w:szCs w:val="18"/>
        </w:rPr>
        <w:t>ommittee assists</w:t>
      </w:r>
      <w:r w:rsidR="00D0685C" w:rsidRPr="009D7BAC">
        <w:rPr>
          <w:rFonts w:ascii="Arial" w:hAnsi="Arial" w:cs="Arial"/>
          <w:spacing w:val="-2"/>
          <w:sz w:val="18"/>
          <w:szCs w:val="18"/>
        </w:rPr>
        <w:t xml:space="preserve"> the directors in discharging their responsibilit</w:t>
      </w:r>
      <w:r w:rsidR="00433A38" w:rsidRPr="009D7BAC">
        <w:rPr>
          <w:rFonts w:ascii="Arial" w:hAnsi="Arial" w:cs="Arial"/>
          <w:spacing w:val="-2"/>
          <w:sz w:val="18"/>
          <w:szCs w:val="18"/>
        </w:rPr>
        <w:t>ies</w:t>
      </w:r>
      <w:r w:rsidR="00D0685C" w:rsidRPr="009D7BAC">
        <w:rPr>
          <w:rFonts w:ascii="Arial" w:hAnsi="Arial" w:cs="Arial"/>
          <w:spacing w:val="-2"/>
          <w:sz w:val="18"/>
          <w:szCs w:val="18"/>
        </w:rPr>
        <w:t xml:space="preserve"> </w:t>
      </w:r>
      <w:r w:rsidR="00B91979" w:rsidRPr="009D7BAC">
        <w:rPr>
          <w:rFonts w:ascii="Arial" w:hAnsi="Arial" w:cs="Arial"/>
          <w:spacing w:val="-2"/>
          <w:sz w:val="18"/>
          <w:szCs w:val="18"/>
        </w:rPr>
        <w:t xml:space="preserve">for overseeing the </w:t>
      </w:r>
      <w:r w:rsidR="00BD5FF4" w:rsidRPr="009D7BAC">
        <w:rPr>
          <w:rFonts w:ascii="Arial" w:hAnsi="Arial" w:cs="Arial"/>
          <w:spacing w:val="-2"/>
          <w:sz w:val="18"/>
          <w:szCs w:val="18"/>
        </w:rPr>
        <w:t>Group</w:t>
      </w:r>
      <w:r w:rsidR="00DE096E">
        <w:rPr>
          <w:rFonts w:ascii="Arial" w:hAnsi="Arial" w:cs="Arial"/>
          <w:spacing w:val="-2"/>
          <w:sz w:val="18"/>
          <w:szCs w:val="18"/>
        </w:rPr>
        <w:t>’s</w:t>
      </w:r>
      <w:r w:rsidR="00BD5FF4" w:rsidRPr="009D7BAC">
        <w:rPr>
          <w:rFonts w:ascii="Arial" w:hAnsi="Arial" w:cs="Arial"/>
          <w:spacing w:val="-2"/>
          <w:sz w:val="18"/>
          <w:szCs w:val="18"/>
        </w:rPr>
        <w:t xml:space="preserve"> and </w:t>
      </w:r>
      <w:r w:rsidR="00B91979" w:rsidRPr="009D7BAC">
        <w:rPr>
          <w:rFonts w:ascii="Arial" w:hAnsi="Arial" w:cs="Arial"/>
          <w:spacing w:val="-2"/>
          <w:sz w:val="18"/>
          <w:szCs w:val="18"/>
        </w:rPr>
        <w:t xml:space="preserve">Company’s financial reporting process. </w:t>
      </w:r>
    </w:p>
    <w:p w:rsidR="00620568" w:rsidRPr="009D7BAC" w:rsidRDefault="00620568" w:rsidP="000D55B0">
      <w:pPr>
        <w:pStyle w:val="Default"/>
        <w:jc w:val="thaiDistribute"/>
        <w:rPr>
          <w:b/>
          <w:bCs/>
          <w:color w:val="auto"/>
          <w:sz w:val="18"/>
          <w:szCs w:val="18"/>
        </w:rPr>
      </w:pPr>
    </w:p>
    <w:p w:rsidR="00FE23B5" w:rsidRPr="009D7BAC" w:rsidRDefault="00FE23B5" w:rsidP="0026286A">
      <w:pPr>
        <w:pStyle w:val="Header"/>
        <w:autoSpaceDE w:val="0"/>
        <w:autoSpaceDN w:val="0"/>
        <w:adjustRightInd w:val="0"/>
        <w:spacing w:line="360" w:lineRule="auto"/>
        <w:jc w:val="thaiDistribute"/>
        <w:rPr>
          <w:rFonts w:ascii="Arial" w:hAnsi="Arial" w:cs="Arial"/>
          <w:b/>
          <w:bCs/>
          <w:color w:val="CF4A02"/>
          <w:sz w:val="18"/>
          <w:szCs w:val="18"/>
        </w:rPr>
      </w:pPr>
      <w:r w:rsidRPr="009D7BAC">
        <w:rPr>
          <w:rFonts w:ascii="Arial" w:hAnsi="Arial" w:cs="Arial"/>
          <w:b/>
          <w:bCs/>
          <w:color w:val="CF4A02"/>
          <w:sz w:val="18"/>
          <w:szCs w:val="18"/>
        </w:rPr>
        <w:t>Auditor’s responsibilities for the audit of the consolidated and separate financial statements</w:t>
      </w:r>
    </w:p>
    <w:p w:rsidR="00FE23B5" w:rsidRPr="009D7BAC" w:rsidRDefault="00FE23B5" w:rsidP="00FE23B5">
      <w:pPr>
        <w:pStyle w:val="Default"/>
        <w:jc w:val="thaiDistribute"/>
        <w:rPr>
          <w:color w:val="auto"/>
          <w:spacing w:val="-4"/>
          <w:sz w:val="18"/>
          <w:szCs w:val="18"/>
        </w:rPr>
      </w:pPr>
      <w:r w:rsidRPr="009D7BAC">
        <w:rPr>
          <w:color w:val="auto"/>
          <w:spacing w:val="-4"/>
          <w:sz w:val="18"/>
          <w:szCs w:val="18"/>
        </w:rPr>
        <w:t xml:space="preserve">My objectives are to obtain reasonable assurance about whether the consolidated and separate financial statements </w:t>
      </w:r>
      <w:proofErr w:type="gramStart"/>
      <w:r w:rsidRPr="009D7BAC">
        <w:rPr>
          <w:color w:val="auto"/>
          <w:spacing w:val="-4"/>
          <w:sz w:val="18"/>
          <w:szCs w:val="18"/>
        </w:rPr>
        <w:t>as a whole are</w:t>
      </w:r>
      <w:proofErr w:type="gramEnd"/>
      <w:r w:rsidRPr="009D7BAC">
        <w:rPr>
          <w:color w:val="auto"/>
          <w:spacing w:val="-4"/>
          <w:sz w:val="18"/>
          <w:szCs w:val="18"/>
        </w:rPr>
        <w:t xml:space="preserve"> free from material misstatement, whether due to fraud or error, and to issue an auditor’s report that includes my opinion. Reasonable assurance is a high level of </w:t>
      </w:r>
      <w:proofErr w:type="gramStart"/>
      <w:r w:rsidRPr="009D7BAC">
        <w:rPr>
          <w:color w:val="auto"/>
          <w:spacing w:val="-4"/>
          <w:sz w:val="18"/>
          <w:szCs w:val="18"/>
        </w:rPr>
        <w:t>assurance, but</w:t>
      </w:r>
      <w:proofErr w:type="gramEnd"/>
      <w:r w:rsidRPr="009D7BAC">
        <w:rPr>
          <w:color w:val="auto"/>
          <w:spacing w:val="-4"/>
          <w:sz w:val="18"/>
          <w:szCs w:val="18"/>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9D7BAC">
        <w:rPr>
          <w:color w:val="auto"/>
          <w:spacing w:val="-4"/>
          <w:sz w:val="18"/>
          <w:szCs w:val="18"/>
        </w:rPr>
        <w:t>on the basis of</w:t>
      </w:r>
      <w:proofErr w:type="gramEnd"/>
      <w:r w:rsidRPr="009D7BAC">
        <w:rPr>
          <w:color w:val="auto"/>
          <w:spacing w:val="-4"/>
          <w:sz w:val="18"/>
          <w:szCs w:val="18"/>
        </w:rPr>
        <w:t xml:space="preserve"> these consolidated and separate financial statements.</w:t>
      </w:r>
    </w:p>
    <w:p w:rsidR="00FE23B5" w:rsidRPr="009D7BAC" w:rsidRDefault="00FE23B5" w:rsidP="00FE23B5">
      <w:pPr>
        <w:pStyle w:val="Default"/>
        <w:jc w:val="thaiDistribute"/>
        <w:rPr>
          <w:b/>
          <w:bCs/>
          <w:color w:val="auto"/>
          <w:sz w:val="18"/>
          <w:szCs w:val="18"/>
        </w:rPr>
      </w:pPr>
    </w:p>
    <w:p w:rsidR="00FE23B5" w:rsidRPr="009D7BAC" w:rsidRDefault="00FE23B5" w:rsidP="00FE23B5">
      <w:pPr>
        <w:pStyle w:val="Default"/>
        <w:jc w:val="thaiDistribute"/>
        <w:rPr>
          <w:color w:val="auto"/>
          <w:sz w:val="18"/>
          <w:szCs w:val="18"/>
        </w:rPr>
      </w:pPr>
      <w:r w:rsidRPr="009D7BAC">
        <w:rPr>
          <w:color w:val="auto"/>
          <w:sz w:val="18"/>
          <w:szCs w:val="18"/>
        </w:rPr>
        <w:t>As part of an audit in accordance with TSAs, I exercise professional judg</w:t>
      </w:r>
      <w:r w:rsidR="00DE096E">
        <w:rPr>
          <w:color w:val="auto"/>
          <w:sz w:val="18"/>
          <w:szCs w:val="18"/>
        </w:rPr>
        <w:t>e</w:t>
      </w:r>
      <w:r w:rsidRPr="009D7BAC">
        <w:rPr>
          <w:color w:val="auto"/>
          <w:sz w:val="18"/>
          <w:szCs w:val="18"/>
        </w:rPr>
        <w:t xml:space="preserve">ment and maintain professional scepticism throughout the audit. I also: </w:t>
      </w:r>
    </w:p>
    <w:p w:rsidR="00FE23B5" w:rsidRPr="009D7BAC" w:rsidRDefault="00FE23B5" w:rsidP="00FE23B5">
      <w:pPr>
        <w:pStyle w:val="Default"/>
        <w:jc w:val="thaiDistribute"/>
        <w:rPr>
          <w:b/>
          <w:bCs/>
          <w:color w:val="auto"/>
          <w:sz w:val="18"/>
          <w:szCs w:val="18"/>
        </w:rPr>
      </w:pPr>
    </w:p>
    <w:p w:rsidR="00FE23B5" w:rsidRPr="009D7BAC" w:rsidRDefault="00FE23B5" w:rsidP="00FE23B5">
      <w:pPr>
        <w:pStyle w:val="Default"/>
        <w:numPr>
          <w:ilvl w:val="0"/>
          <w:numId w:val="1"/>
        </w:numPr>
        <w:tabs>
          <w:tab w:val="clear" w:pos="720"/>
          <w:tab w:val="num" w:pos="540"/>
        </w:tabs>
        <w:ind w:left="540"/>
        <w:jc w:val="thaiDistribute"/>
        <w:rPr>
          <w:spacing w:val="-4"/>
          <w:sz w:val="18"/>
          <w:szCs w:val="18"/>
        </w:rPr>
      </w:pPr>
      <w:r w:rsidRPr="009D7BAC">
        <w:rPr>
          <w:spacing w:val="-4"/>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FE23B5" w:rsidRPr="009D7BAC" w:rsidRDefault="00FE23B5" w:rsidP="00FE23B5">
      <w:pPr>
        <w:pStyle w:val="Default"/>
        <w:numPr>
          <w:ilvl w:val="0"/>
          <w:numId w:val="1"/>
        </w:numPr>
        <w:tabs>
          <w:tab w:val="clear" w:pos="720"/>
          <w:tab w:val="num" w:pos="540"/>
        </w:tabs>
        <w:ind w:left="540"/>
        <w:jc w:val="thaiDistribute"/>
        <w:rPr>
          <w:sz w:val="18"/>
          <w:szCs w:val="18"/>
        </w:rPr>
      </w:pPr>
      <w:r w:rsidRPr="009D7BAC">
        <w:rPr>
          <w:sz w:val="18"/>
          <w:szCs w:val="18"/>
        </w:rPr>
        <w:t>Obtain an understanding of internal control relevant to the audit in order to design audit procedures that are appropriate in the circumstances, but not for the purpose of expressing an opinion on the effectiveness of the Group</w:t>
      </w:r>
      <w:r w:rsidR="00DE096E">
        <w:rPr>
          <w:sz w:val="18"/>
          <w:szCs w:val="18"/>
        </w:rPr>
        <w:t>’s</w:t>
      </w:r>
      <w:r w:rsidRPr="009D7BAC">
        <w:rPr>
          <w:sz w:val="18"/>
          <w:szCs w:val="18"/>
        </w:rPr>
        <w:t xml:space="preserve"> and Company’s internal control. </w:t>
      </w:r>
    </w:p>
    <w:p w:rsidR="000F1598" w:rsidRDefault="00FE23B5" w:rsidP="00FE23B5">
      <w:pPr>
        <w:pStyle w:val="Default"/>
        <w:numPr>
          <w:ilvl w:val="0"/>
          <w:numId w:val="1"/>
        </w:numPr>
        <w:tabs>
          <w:tab w:val="clear" w:pos="720"/>
          <w:tab w:val="num" w:pos="540"/>
        </w:tabs>
        <w:ind w:left="540"/>
        <w:jc w:val="thaiDistribute"/>
        <w:rPr>
          <w:sz w:val="18"/>
          <w:szCs w:val="18"/>
        </w:rPr>
      </w:pPr>
      <w:r w:rsidRPr="009D7BAC">
        <w:rPr>
          <w:sz w:val="18"/>
          <w:szCs w:val="18"/>
        </w:rPr>
        <w:t xml:space="preserve">Evaluate the appropriateness of accounting policies used and the reasonableness of accounting estimates and related disclosures made by the directors. </w:t>
      </w:r>
    </w:p>
    <w:p w:rsidR="00FE23B5" w:rsidRPr="009D7BAC" w:rsidRDefault="000F1598" w:rsidP="000F1598">
      <w:pPr>
        <w:pStyle w:val="Default"/>
        <w:jc w:val="thaiDistribute"/>
        <w:rPr>
          <w:sz w:val="18"/>
          <w:szCs w:val="18"/>
        </w:rPr>
      </w:pPr>
      <w:r>
        <w:rPr>
          <w:sz w:val="18"/>
          <w:szCs w:val="18"/>
        </w:rPr>
        <w:br w:type="page"/>
      </w:r>
    </w:p>
    <w:p w:rsidR="000F1598" w:rsidRPr="000F1598" w:rsidRDefault="00FE23B5" w:rsidP="000F1598">
      <w:pPr>
        <w:pStyle w:val="Default"/>
        <w:numPr>
          <w:ilvl w:val="0"/>
          <w:numId w:val="1"/>
        </w:numPr>
        <w:tabs>
          <w:tab w:val="clear" w:pos="720"/>
          <w:tab w:val="num" w:pos="540"/>
        </w:tabs>
        <w:ind w:left="540"/>
        <w:jc w:val="thaiDistribute"/>
        <w:rPr>
          <w:sz w:val="18"/>
          <w:szCs w:val="18"/>
        </w:rPr>
      </w:pPr>
      <w:r w:rsidRPr="009D7BAC">
        <w:rPr>
          <w:sz w:val="18"/>
          <w:szCs w:val="18"/>
        </w:rPr>
        <w:t>Conclude on the appropriateness of the directors’ use of the going concern basis of accounting and, based on the audit evidence obtained, whether a material uncertainty exists related to events or conditions that may cast significant doubt on the Group</w:t>
      </w:r>
      <w:r w:rsidR="00DE096E">
        <w:rPr>
          <w:sz w:val="18"/>
          <w:szCs w:val="18"/>
        </w:rPr>
        <w:t>’s</w:t>
      </w:r>
      <w:r w:rsidRPr="009D7BAC">
        <w:rPr>
          <w:sz w:val="18"/>
          <w:szCs w:val="18"/>
        </w:rPr>
        <w:t xml:space="preserve"> and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Company to cease to continue as a going concern.</w:t>
      </w:r>
    </w:p>
    <w:p w:rsidR="0049535D" w:rsidRPr="009D7BAC" w:rsidRDefault="000F1598" w:rsidP="000F1598">
      <w:pPr>
        <w:pStyle w:val="Default"/>
        <w:numPr>
          <w:ilvl w:val="0"/>
          <w:numId w:val="1"/>
        </w:numPr>
        <w:tabs>
          <w:tab w:val="clear" w:pos="720"/>
          <w:tab w:val="num" w:pos="540"/>
        </w:tabs>
        <w:ind w:left="540"/>
        <w:jc w:val="thaiDistribute"/>
        <w:rPr>
          <w:sz w:val="18"/>
          <w:szCs w:val="18"/>
        </w:rPr>
      </w:pPr>
      <w:r w:rsidRPr="009D7BAC">
        <w:rPr>
          <w:spacing w:val="-2"/>
          <w:sz w:val="18"/>
          <w:szCs w:val="18"/>
        </w:rPr>
        <w:t xml:space="preserve"> </w:t>
      </w:r>
      <w:r w:rsidR="00FE6CF3" w:rsidRPr="009D7BAC">
        <w:rPr>
          <w:spacing w:val="-2"/>
          <w:sz w:val="18"/>
          <w:szCs w:val="18"/>
        </w:rPr>
        <w:t xml:space="preserve">Evaluate the overall presentation, structure and content of the </w:t>
      </w:r>
      <w:r w:rsidR="00900250" w:rsidRPr="009D7BAC">
        <w:rPr>
          <w:spacing w:val="-2"/>
          <w:sz w:val="18"/>
          <w:szCs w:val="18"/>
        </w:rPr>
        <w:t xml:space="preserve">consolidated and </w:t>
      </w:r>
      <w:r w:rsidR="00D0685C" w:rsidRPr="009D7BAC">
        <w:rPr>
          <w:spacing w:val="-2"/>
          <w:sz w:val="18"/>
          <w:szCs w:val="18"/>
        </w:rPr>
        <w:t xml:space="preserve">separate </w:t>
      </w:r>
      <w:r w:rsidR="00FE6CF3" w:rsidRPr="009D7BAC">
        <w:rPr>
          <w:spacing w:val="-2"/>
          <w:sz w:val="18"/>
          <w:szCs w:val="18"/>
        </w:rPr>
        <w:t>financial statements,</w:t>
      </w:r>
      <w:r w:rsidR="00FE6CF3" w:rsidRPr="009D7BAC">
        <w:rPr>
          <w:sz w:val="18"/>
          <w:szCs w:val="18"/>
        </w:rPr>
        <w:t xml:space="preserve"> including the disclosures, and whether the </w:t>
      </w:r>
      <w:r w:rsidR="00900250" w:rsidRPr="009D7BAC">
        <w:rPr>
          <w:sz w:val="18"/>
          <w:szCs w:val="18"/>
        </w:rPr>
        <w:t xml:space="preserve">consolidated and </w:t>
      </w:r>
      <w:r w:rsidR="00D0685C" w:rsidRPr="009D7BAC">
        <w:rPr>
          <w:sz w:val="18"/>
          <w:szCs w:val="18"/>
        </w:rPr>
        <w:t xml:space="preserve">separate </w:t>
      </w:r>
      <w:r w:rsidR="00FE6CF3" w:rsidRPr="009D7BAC">
        <w:rPr>
          <w:sz w:val="18"/>
          <w:szCs w:val="18"/>
        </w:rPr>
        <w:t xml:space="preserve">financial statements represent the underlying transactions and events in a manner that achieves fair presentation. </w:t>
      </w:r>
    </w:p>
    <w:p w:rsidR="00B41448" w:rsidRPr="009D7BAC" w:rsidRDefault="002F280C" w:rsidP="003D3D27">
      <w:pPr>
        <w:pStyle w:val="Default"/>
        <w:numPr>
          <w:ilvl w:val="0"/>
          <w:numId w:val="1"/>
        </w:numPr>
        <w:tabs>
          <w:tab w:val="clear" w:pos="720"/>
          <w:tab w:val="num" w:pos="540"/>
        </w:tabs>
        <w:ind w:left="540"/>
        <w:jc w:val="thaiDistribute"/>
        <w:rPr>
          <w:spacing w:val="-4"/>
          <w:sz w:val="18"/>
          <w:szCs w:val="18"/>
        </w:rPr>
      </w:pPr>
      <w:r w:rsidRPr="009D7BAC">
        <w:rPr>
          <w:sz w:val="18"/>
          <w:szCs w:val="18"/>
        </w:rPr>
        <w:t xml:space="preserve">Obtain </w:t>
      </w:r>
      <w:proofErr w:type="gramStart"/>
      <w:r w:rsidRPr="009D7BAC">
        <w:rPr>
          <w:sz w:val="18"/>
          <w:szCs w:val="18"/>
        </w:rPr>
        <w:t>sufficient</w:t>
      </w:r>
      <w:proofErr w:type="gramEnd"/>
      <w:r w:rsidRPr="009D7BAC">
        <w:rPr>
          <w:sz w:val="18"/>
          <w:szCs w:val="18"/>
        </w:rPr>
        <w:t xml:space="preserve"> appropriate audit evidence regarding the financial information of the entities or business activities within the Group to express an opinion on the consolidated financial statements. I am responsible </w:t>
      </w:r>
      <w:r w:rsidRPr="009D7BAC">
        <w:rPr>
          <w:spacing w:val="-4"/>
          <w:sz w:val="18"/>
          <w:szCs w:val="18"/>
        </w:rPr>
        <w:t>for the direction, supervision and performance of the group audit. I remain solely responsible for my audit opinion.</w:t>
      </w:r>
    </w:p>
    <w:p w:rsidR="00B91979" w:rsidRPr="009D7BAC" w:rsidRDefault="00B91979" w:rsidP="000D55B0">
      <w:pPr>
        <w:pStyle w:val="Default"/>
        <w:jc w:val="thaiDistribute"/>
        <w:rPr>
          <w:sz w:val="18"/>
          <w:szCs w:val="18"/>
        </w:rPr>
      </w:pPr>
    </w:p>
    <w:p w:rsidR="00B91979" w:rsidRPr="009D7BAC" w:rsidRDefault="00B91979" w:rsidP="00E81314">
      <w:pPr>
        <w:pStyle w:val="Default"/>
        <w:jc w:val="both"/>
        <w:rPr>
          <w:sz w:val="18"/>
          <w:szCs w:val="18"/>
        </w:rPr>
      </w:pPr>
      <w:r w:rsidRPr="009D7BAC">
        <w:rPr>
          <w:sz w:val="18"/>
          <w:szCs w:val="18"/>
        </w:rPr>
        <w:t xml:space="preserve">I communicate with </w:t>
      </w:r>
      <w:r w:rsidR="00D0685C" w:rsidRPr="009D7BAC">
        <w:rPr>
          <w:sz w:val="18"/>
          <w:szCs w:val="18"/>
        </w:rPr>
        <w:t xml:space="preserve">the audit committee </w:t>
      </w:r>
      <w:r w:rsidRPr="009D7BAC">
        <w:rPr>
          <w:sz w:val="18"/>
          <w:szCs w:val="18"/>
        </w:rPr>
        <w:t xml:space="preserve">regarding, among other matters, the planned scope and timing of the audit and significant audit findings, including any significant deficiencies in internal control that I identify during my audit. </w:t>
      </w:r>
    </w:p>
    <w:p w:rsidR="00B91979" w:rsidRPr="009D7BAC" w:rsidRDefault="00B91979" w:rsidP="00E81314">
      <w:pPr>
        <w:pStyle w:val="Default"/>
        <w:jc w:val="both"/>
        <w:rPr>
          <w:sz w:val="18"/>
          <w:szCs w:val="18"/>
        </w:rPr>
      </w:pPr>
    </w:p>
    <w:p w:rsidR="00E2061E" w:rsidRPr="009D7BAC" w:rsidRDefault="00B91979" w:rsidP="00E81314">
      <w:pPr>
        <w:pStyle w:val="Default"/>
        <w:jc w:val="both"/>
        <w:rPr>
          <w:sz w:val="18"/>
          <w:szCs w:val="18"/>
        </w:rPr>
      </w:pPr>
      <w:r w:rsidRPr="009D7BAC">
        <w:rPr>
          <w:sz w:val="18"/>
          <w:szCs w:val="18"/>
        </w:rPr>
        <w:t xml:space="preserve">I also provide </w:t>
      </w:r>
      <w:r w:rsidR="00D0685C" w:rsidRPr="009D7BAC">
        <w:rPr>
          <w:sz w:val="18"/>
          <w:szCs w:val="18"/>
        </w:rPr>
        <w:t xml:space="preserve">the audit committee </w:t>
      </w:r>
      <w:r w:rsidRPr="009D7BAC">
        <w:rPr>
          <w:sz w:val="18"/>
          <w:szCs w:val="18"/>
        </w:rPr>
        <w:t>with a statement that I have complied with relevant ethical requirements regarding independence, and to communicate with them all relationships and other matters that may reasonably be thought to bear on my independence, and where applicable, related safeguards.</w:t>
      </w:r>
    </w:p>
    <w:p w:rsidR="00FE23B5" w:rsidRPr="009D7BAC" w:rsidRDefault="00FE23B5" w:rsidP="00E81314">
      <w:pPr>
        <w:pStyle w:val="Default"/>
        <w:jc w:val="both"/>
        <w:rPr>
          <w:sz w:val="18"/>
          <w:szCs w:val="18"/>
        </w:rPr>
      </w:pPr>
    </w:p>
    <w:p w:rsidR="00B91979" w:rsidRPr="009D7BAC" w:rsidRDefault="00B91979" w:rsidP="00E81314">
      <w:pPr>
        <w:pStyle w:val="Default"/>
        <w:jc w:val="both"/>
        <w:rPr>
          <w:sz w:val="18"/>
          <w:szCs w:val="18"/>
        </w:rPr>
      </w:pPr>
      <w:r w:rsidRPr="009D7BAC">
        <w:rPr>
          <w:sz w:val="18"/>
          <w:szCs w:val="18"/>
        </w:rPr>
        <w:t xml:space="preserve">From the matters communicated with </w:t>
      </w:r>
      <w:r w:rsidR="00D0685C" w:rsidRPr="009D7BAC">
        <w:rPr>
          <w:sz w:val="18"/>
          <w:szCs w:val="18"/>
        </w:rPr>
        <w:t>the audit committee</w:t>
      </w:r>
      <w:r w:rsidRPr="009D7BAC">
        <w:rPr>
          <w:sz w:val="18"/>
          <w:szCs w:val="18"/>
        </w:rPr>
        <w:t xml:space="preserve">, I determine those matters that were of most significance in the audit of the </w:t>
      </w:r>
      <w:r w:rsidR="00900250" w:rsidRPr="009D7BAC">
        <w:rPr>
          <w:sz w:val="18"/>
          <w:szCs w:val="18"/>
        </w:rPr>
        <w:t xml:space="preserve">consolidated </w:t>
      </w:r>
      <w:r w:rsidRPr="009D7BAC">
        <w:rPr>
          <w:sz w:val="18"/>
          <w:szCs w:val="18"/>
        </w:rPr>
        <w:t xml:space="preserve">financial statements of the current period and are therefore the key audit matters. </w:t>
      </w:r>
      <w:r w:rsidR="00E81314" w:rsidRPr="009D7BAC">
        <w:rPr>
          <w:sz w:val="18"/>
          <w:szCs w:val="18"/>
        </w:rPr>
        <w:br/>
      </w:r>
      <w:r w:rsidRPr="009D7BAC">
        <w:rPr>
          <w:sz w:val="18"/>
          <w:szCs w:val="18"/>
        </w:rPr>
        <w:t xml:space="preserve">I describe these matters in my auditor’s report unless law or regulation precludes public disclosure about the matter </w:t>
      </w:r>
      <w:r w:rsidRPr="009D7BAC">
        <w:rPr>
          <w:spacing w:val="-2"/>
          <w:sz w:val="18"/>
          <w:szCs w:val="18"/>
        </w:rPr>
        <w:t>or when, in extremely rare circumstances, I determine that a matter should not be communicated in my report because</w:t>
      </w:r>
      <w:r w:rsidRPr="009D7BAC">
        <w:rPr>
          <w:sz w:val="18"/>
          <w:szCs w:val="18"/>
        </w:rPr>
        <w:t xml:space="preserve"> the adverse consequences of doing so would reasonably be expected to outweigh the public interest benefits of such communication. </w:t>
      </w:r>
    </w:p>
    <w:p w:rsidR="008D64B8" w:rsidRPr="009D7BAC" w:rsidRDefault="008D64B8" w:rsidP="00E81314">
      <w:pPr>
        <w:pStyle w:val="Default"/>
        <w:jc w:val="both"/>
        <w:rPr>
          <w:sz w:val="18"/>
          <w:szCs w:val="18"/>
        </w:rPr>
      </w:pPr>
    </w:p>
    <w:p w:rsidR="00D0685C" w:rsidRPr="009D7BAC" w:rsidRDefault="00D0685C" w:rsidP="00E81314">
      <w:pPr>
        <w:suppressAutoHyphens/>
        <w:spacing w:after="0" w:line="240" w:lineRule="auto"/>
        <w:jc w:val="both"/>
        <w:rPr>
          <w:rFonts w:ascii="Arial" w:hAnsi="Arial" w:cs="Arial"/>
          <w:sz w:val="18"/>
          <w:szCs w:val="18"/>
          <w:lang w:val="en-US"/>
        </w:rPr>
      </w:pPr>
    </w:p>
    <w:p w:rsidR="00D0685C" w:rsidRPr="009D7BAC" w:rsidRDefault="00D0685C" w:rsidP="00E81314">
      <w:pPr>
        <w:suppressAutoHyphens/>
        <w:spacing w:after="0" w:line="240" w:lineRule="auto"/>
        <w:jc w:val="both"/>
        <w:rPr>
          <w:rFonts w:ascii="Arial" w:hAnsi="Arial" w:cs="Arial"/>
          <w:sz w:val="18"/>
          <w:szCs w:val="18"/>
          <w:lang w:val="en-US"/>
        </w:rPr>
      </w:pPr>
      <w:r w:rsidRPr="009D7BAC">
        <w:rPr>
          <w:rFonts w:ascii="Arial" w:hAnsi="Arial" w:cs="Arial"/>
          <w:sz w:val="18"/>
          <w:szCs w:val="18"/>
          <w:lang w:val="en-US"/>
        </w:rPr>
        <w:t>PricewaterhouseCoopers ABAS Ltd.</w:t>
      </w:r>
    </w:p>
    <w:p w:rsidR="008D64B8" w:rsidRPr="009D7BAC" w:rsidRDefault="008D64B8" w:rsidP="00E81314">
      <w:pPr>
        <w:pStyle w:val="Default"/>
        <w:jc w:val="both"/>
        <w:rPr>
          <w:sz w:val="18"/>
          <w:szCs w:val="18"/>
        </w:rPr>
      </w:pPr>
    </w:p>
    <w:p w:rsidR="000D55B0" w:rsidRPr="009D7BAC" w:rsidRDefault="000D55B0" w:rsidP="00E81314">
      <w:pPr>
        <w:suppressAutoHyphens/>
        <w:spacing w:after="0" w:line="240" w:lineRule="auto"/>
        <w:jc w:val="both"/>
        <w:rPr>
          <w:rFonts w:ascii="Arial" w:hAnsi="Arial" w:cs="Arial"/>
          <w:sz w:val="18"/>
          <w:szCs w:val="18"/>
        </w:rPr>
      </w:pPr>
    </w:p>
    <w:p w:rsidR="003D3D27" w:rsidRPr="009D7BAC" w:rsidRDefault="003D3D27" w:rsidP="00E81314">
      <w:pPr>
        <w:suppressAutoHyphens/>
        <w:spacing w:after="0" w:line="240" w:lineRule="auto"/>
        <w:jc w:val="both"/>
        <w:rPr>
          <w:rFonts w:ascii="Arial" w:hAnsi="Arial" w:cs="Arial"/>
          <w:sz w:val="18"/>
          <w:szCs w:val="18"/>
        </w:rPr>
      </w:pPr>
    </w:p>
    <w:p w:rsidR="00FE23B5" w:rsidRPr="009D7BAC" w:rsidRDefault="00FE23B5" w:rsidP="00E81314">
      <w:pPr>
        <w:suppressAutoHyphens/>
        <w:spacing w:after="0" w:line="240" w:lineRule="auto"/>
        <w:jc w:val="both"/>
        <w:rPr>
          <w:rFonts w:ascii="Arial" w:hAnsi="Arial" w:cs="Arial"/>
          <w:sz w:val="18"/>
          <w:szCs w:val="18"/>
        </w:rPr>
      </w:pPr>
    </w:p>
    <w:p w:rsidR="003D3D27" w:rsidRPr="009D7BAC" w:rsidRDefault="003D3D27" w:rsidP="00E81314">
      <w:pPr>
        <w:suppressAutoHyphens/>
        <w:spacing w:after="0" w:line="240" w:lineRule="auto"/>
        <w:jc w:val="both"/>
        <w:rPr>
          <w:rFonts w:ascii="Arial" w:hAnsi="Arial" w:cs="Arial"/>
          <w:sz w:val="18"/>
          <w:szCs w:val="18"/>
        </w:rPr>
      </w:pPr>
    </w:p>
    <w:p w:rsidR="00FE23B5" w:rsidRPr="009D7BAC" w:rsidRDefault="00FE23B5" w:rsidP="00E81314">
      <w:pPr>
        <w:suppressAutoHyphens/>
        <w:spacing w:after="0" w:line="240" w:lineRule="auto"/>
        <w:jc w:val="both"/>
        <w:rPr>
          <w:rFonts w:ascii="Arial" w:hAnsi="Arial" w:cs="Arial"/>
          <w:sz w:val="18"/>
          <w:szCs w:val="18"/>
        </w:rPr>
      </w:pPr>
    </w:p>
    <w:p w:rsidR="003D3D27" w:rsidRPr="009D7BAC" w:rsidRDefault="003D3D27" w:rsidP="00E81314">
      <w:pPr>
        <w:suppressAutoHyphens/>
        <w:spacing w:after="0" w:line="240" w:lineRule="auto"/>
        <w:jc w:val="both"/>
        <w:rPr>
          <w:rFonts w:ascii="Arial" w:hAnsi="Arial" w:cs="Arial"/>
          <w:sz w:val="18"/>
          <w:szCs w:val="18"/>
        </w:rPr>
      </w:pPr>
    </w:p>
    <w:p w:rsidR="003D3D27" w:rsidRPr="009D7BAC" w:rsidRDefault="003D3D27" w:rsidP="00E81314">
      <w:pPr>
        <w:suppressAutoHyphens/>
        <w:spacing w:after="0" w:line="240" w:lineRule="auto"/>
        <w:jc w:val="both"/>
        <w:rPr>
          <w:rFonts w:ascii="Arial" w:hAnsi="Arial" w:cs="Arial"/>
          <w:sz w:val="18"/>
          <w:szCs w:val="18"/>
        </w:rPr>
      </w:pPr>
    </w:p>
    <w:p w:rsidR="00C34AA2" w:rsidRPr="009D7BAC" w:rsidRDefault="009B2D00" w:rsidP="00E81314">
      <w:pPr>
        <w:suppressAutoHyphens/>
        <w:spacing w:after="0" w:line="240" w:lineRule="auto"/>
        <w:jc w:val="both"/>
        <w:rPr>
          <w:rFonts w:ascii="Arial" w:hAnsi="Arial" w:cs="Arial"/>
          <w:b/>
          <w:bCs/>
          <w:sz w:val="18"/>
          <w:szCs w:val="18"/>
          <w:lang w:val="en-US"/>
        </w:rPr>
      </w:pPr>
      <w:proofErr w:type="spellStart"/>
      <w:proofErr w:type="gramStart"/>
      <w:r w:rsidRPr="009D7BAC">
        <w:rPr>
          <w:rFonts w:ascii="Arial" w:hAnsi="Arial" w:cs="Arial"/>
          <w:b/>
          <w:bCs/>
          <w:sz w:val="18"/>
          <w:szCs w:val="18"/>
          <w:lang w:val="en-US"/>
        </w:rPr>
        <w:t>Varaporn</w:t>
      </w:r>
      <w:proofErr w:type="spellEnd"/>
      <w:r w:rsidRPr="009D7BAC">
        <w:rPr>
          <w:rFonts w:ascii="Arial" w:hAnsi="Arial" w:cs="Arial"/>
          <w:b/>
          <w:bCs/>
          <w:sz w:val="18"/>
          <w:szCs w:val="18"/>
          <w:lang w:val="en-US"/>
        </w:rPr>
        <w:t xml:space="preserve">  </w:t>
      </w:r>
      <w:proofErr w:type="spellStart"/>
      <w:r w:rsidRPr="009D7BAC">
        <w:rPr>
          <w:rFonts w:ascii="Arial" w:hAnsi="Arial" w:cs="Arial"/>
          <w:b/>
          <w:bCs/>
          <w:sz w:val="18"/>
          <w:szCs w:val="18"/>
          <w:lang w:val="en-US"/>
        </w:rPr>
        <w:t>Vorathitikul</w:t>
      </w:r>
      <w:proofErr w:type="spellEnd"/>
      <w:proofErr w:type="gramEnd"/>
      <w:r w:rsidR="00C34AA2" w:rsidRPr="009D7BAC">
        <w:rPr>
          <w:rFonts w:ascii="Arial" w:hAnsi="Arial" w:cs="Arial"/>
          <w:b/>
          <w:bCs/>
          <w:sz w:val="18"/>
          <w:szCs w:val="18"/>
          <w:lang w:val="en-US"/>
        </w:rPr>
        <w:t xml:space="preserve"> </w:t>
      </w:r>
    </w:p>
    <w:p w:rsidR="00C9138D" w:rsidRPr="009D7BAC" w:rsidRDefault="00C9138D" w:rsidP="00E81314">
      <w:pPr>
        <w:suppressAutoHyphens/>
        <w:spacing w:after="0" w:line="240" w:lineRule="auto"/>
        <w:jc w:val="both"/>
        <w:rPr>
          <w:rFonts w:ascii="Arial" w:hAnsi="Arial" w:cs="Arial"/>
          <w:sz w:val="18"/>
          <w:szCs w:val="18"/>
          <w:lang w:val="en-US"/>
        </w:rPr>
      </w:pPr>
      <w:r w:rsidRPr="009D7BAC">
        <w:rPr>
          <w:rFonts w:ascii="Arial" w:hAnsi="Arial" w:cs="Arial"/>
          <w:sz w:val="18"/>
          <w:szCs w:val="18"/>
          <w:lang w:val="en-US"/>
        </w:rPr>
        <w:t xml:space="preserve">Certified Public Accountant (Thailand) No. </w:t>
      </w:r>
      <w:r w:rsidR="009B2D00" w:rsidRPr="009D7BAC">
        <w:rPr>
          <w:rFonts w:ascii="Arial" w:hAnsi="Arial" w:cs="Arial"/>
          <w:sz w:val="18"/>
          <w:szCs w:val="18"/>
          <w:lang w:val="en-US"/>
        </w:rPr>
        <w:t>4474</w:t>
      </w:r>
    </w:p>
    <w:p w:rsidR="00C9138D" w:rsidRPr="009D7BAC" w:rsidRDefault="00C9138D" w:rsidP="00E81314">
      <w:pPr>
        <w:suppressAutoHyphens/>
        <w:spacing w:after="0" w:line="240" w:lineRule="auto"/>
        <w:jc w:val="both"/>
        <w:rPr>
          <w:rFonts w:ascii="Arial" w:hAnsi="Arial" w:cs="Arial"/>
          <w:sz w:val="18"/>
          <w:szCs w:val="18"/>
          <w:lang w:val="en-US"/>
        </w:rPr>
      </w:pPr>
      <w:r w:rsidRPr="009D7BAC">
        <w:rPr>
          <w:rFonts w:ascii="Arial" w:hAnsi="Arial" w:cs="Arial"/>
          <w:sz w:val="18"/>
          <w:szCs w:val="18"/>
          <w:lang w:val="en-US"/>
        </w:rPr>
        <w:t>Bangkok</w:t>
      </w:r>
    </w:p>
    <w:p w:rsidR="00C9138D" w:rsidRDefault="000F1598" w:rsidP="00E81314">
      <w:pPr>
        <w:suppressAutoHyphens/>
        <w:spacing w:after="0" w:line="240" w:lineRule="auto"/>
        <w:jc w:val="both"/>
        <w:rPr>
          <w:rFonts w:ascii="Arial" w:hAnsi="Arial" w:cs="Arial"/>
          <w:sz w:val="18"/>
          <w:szCs w:val="18"/>
        </w:rPr>
      </w:pPr>
      <w:r>
        <w:rPr>
          <w:rFonts w:ascii="Arial" w:hAnsi="Arial" w:cs="Arial"/>
          <w:sz w:val="18"/>
          <w:szCs w:val="18"/>
        </w:rPr>
        <w:t>18 February</w:t>
      </w:r>
      <w:r w:rsidR="00E2061E" w:rsidRPr="009D7BAC">
        <w:rPr>
          <w:rFonts w:ascii="Arial" w:hAnsi="Arial" w:cs="Arial"/>
          <w:sz w:val="18"/>
          <w:szCs w:val="18"/>
        </w:rPr>
        <w:t xml:space="preserve"> 20</w:t>
      </w:r>
      <w:r w:rsidR="00590D5F" w:rsidRPr="009D7BAC">
        <w:rPr>
          <w:rFonts w:ascii="Arial" w:hAnsi="Arial" w:cs="Arial"/>
          <w:sz w:val="18"/>
          <w:szCs w:val="18"/>
        </w:rPr>
        <w:t>2</w:t>
      </w:r>
      <w:r w:rsidR="008926F0">
        <w:rPr>
          <w:rFonts w:ascii="Arial" w:hAnsi="Arial" w:cs="Arial"/>
          <w:sz w:val="18"/>
          <w:szCs w:val="18"/>
        </w:rPr>
        <w:t>1</w:t>
      </w:r>
    </w:p>
    <w:p w:rsidR="002873D1" w:rsidRDefault="002873D1" w:rsidP="00E81314">
      <w:pPr>
        <w:suppressAutoHyphens/>
        <w:spacing w:after="0" w:line="240" w:lineRule="auto"/>
        <w:jc w:val="both"/>
        <w:rPr>
          <w:rFonts w:ascii="Arial" w:hAnsi="Arial" w:cs="Arial"/>
          <w:sz w:val="18"/>
          <w:szCs w:val="18"/>
        </w:rPr>
      </w:pPr>
    </w:p>
    <w:p w:rsidR="002873D1" w:rsidRDefault="002873D1" w:rsidP="00E81314">
      <w:pPr>
        <w:suppressAutoHyphens/>
        <w:spacing w:after="0" w:line="240" w:lineRule="auto"/>
        <w:jc w:val="both"/>
        <w:rPr>
          <w:rFonts w:ascii="Arial" w:hAnsi="Arial" w:cs="Arial"/>
          <w:sz w:val="18"/>
          <w:szCs w:val="18"/>
        </w:rPr>
      </w:pPr>
    </w:p>
    <w:p w:rsidR="002873D1" w:rsidRPr="009D7BAC" w:rsidRDefault="002873D1" w:rsidP="00E81314">
      <w:pPr>
        <w:suppressAutoHyphens/>
        <w:spacing w:after="0" w:line="240" w:lineRule="auto"/>
        <w:jc w:val="both"/>
        <w:rPr>
          <w:rFonts w:ascii="Arial" w:hAnsi="Arial" w:cs="Arial"/>
          <w:sz w:val="18"/>
          <w:szCs w:val="18"/>
        </w:rPr>
      </w:pPr>
    </w:p>
    <w:p w:rsidR="00FE5E54" w:rsidRPr="009D7BAC" w:rsidRDefault="00FE5E54" w:rsidP="00E81314">
      <w:pPr>
        <w:suppressAutoHyphens/>
        <w:spacing w:after="0" w:line="240" w:lineRule="auto"/>
        <w:jc w:val="both"/>
        <w:rPr>
          <w:rFonts w:ascii="Arial" w:hAnsi="Arial" w:cs="Arial"/>
          <w:sz w:val="18"/>
          <w:szCs w:val="18"/>
          <w:lang w:val="en-US"/>
        </w:rPr>
      </w:pPr>
    </w:p>
    <w:p w:rsidR="00C9138D" w:rsidRPr="009D7BAC" w:rsidRDefault="00C9138D" w:rsidP="000D55B0">
      <w:pPr>
        <w:suppressAutoHyphens/>
        <w:spacing w:after="0" w:line="240" w:lineRule="auto"/>
        <w:rPr>
          <w:rFonts w:ascii="Arial" w:hAnsi="Arial" w:cs="Arial"/>
          <w:sz w:val="18"/>
          <w:szCs w:val="18"/>
          <w:lang w:val="en-US"/>
        </w:rPr>
        <w:sectPr w:rsidR="00C9138D" w:rsidRPr="009D7BAC" w:rsidSect="006C10E4">
          <w:pgSz w:w="11909" w:h="16834" w:code="9"/>
          <w:pgMar w:top="2880" w:right="720" w:bottom="720" w:left="1987" w:header="706" w:footer="706" w:gutter="0"/>
          <w:cols w:space="708"/>
          <w:docGrid w:linePitch="360"/>
        </w:sectPr>
      </w:pPr>
    </w:p>
    <w:p w:rsidR="00250F53" w:rsidRPr="0019087D" w:rsidRDefault="00C34AA2" w:rsidP="00364764">
      <w:pPr>
        <w:pStyle w:val="Caption"/>
        <w:spacing w:line="240" w:lineRule="auto"/>
        <w:ind w:left="720"/>
        <w:jc w:val="both"/>
        <w:rPr>
          <w:rFonts w:ascii="Arial" w:hAnsi="Arial" w:cs="Arial"/>
          <w:sz w:val="20"/>
          <w:szCs w:val="20"/>
          <w:lang w:val="en-GB"/>
        </w:rPr>
      </w:pPr>
      <w:r w:rsidRPr="0019087D">
        <w:rPr>
          <w:rFonts w:ascii="Arial" w:hAnsi="Arial" w:cs="Arial"/>
          <w:sz w:val="20"/>
          <w:szCs w:val="20"/>
          <w:lang w:val="en-GB"/>
        </w:rPr>
        <w:lastRenderedPageBreak/>
        <w:t>SIAMRAJ PUBLIC COMPANY LIMITED</w:t>
      </w:r>
    </w:p>
    <w:p w:rsidR="00250F53" w:rsidRPr="0019087D" w:rsidRDefault="00250F53" w:rsidP="00364764">
      <w:pPr>
        <w:suppressAutoHyphens/>
        <w:spacing w:after="0" w:line="240" w:lineRule="auto"/>
        <w:ind w:left="720"/>
        <w:jc w:val="both"/>
        <w:rPr>
          <w:rFonts w:ascii="Arial" w:hAnsi="Arial" w:cs="Arial"/>
          <w:b/>
          <w:bCs/>
          <w:sz w:val="20"/>
          <w:szCs w:val="20"/>
        </w:rPr>
      </w:pPr>
    </w:p>
    <w:p w:rsidR="00250F53" w:rsidRPr="0019087D" w:rsidRDefault="00250F53" w:rsidP="00364764">
      <w:pPr>
        <w:suppressAutoHyphens/>
        <w:spacing w:after="0" w:line="240" w:lineRule="auto"/>
        <w:ind w:left="720"/>
        <w:jc w:val="both"/>
        <w:rPr>
          <w:rFonts w:ascii="Arial" w:hAnsi="Arial" w:cs="Arial"/>
          <w:b/>
          <w:bCs/>
          <w:sz w:val="20"/>
          <w:szCs w:val="20"/>
        </w:rPr>
      </w:pPr>
    </w:p>
    <w:p w:rsidR="00250F53" w:rsidRPr="0019087D" w:rsidRDefault="00250F53" w:rsidP="00364764">
      <w:pPr>
        <w:keepNext/>
        <w:spacing w:after="0" w:line="240" w:lineRule="auto"/>
        <w:ind w:left="720"/>
        <w:jc w:val="both"/>
        <w:rPr>
          <w:rFonts w:ascii="Arial" w:hAnsi="Arial" w:cs="Arial"/>
          <w:b/>
          <w:bCs/>
          <w:sz w:val="20"/>
          <w:szCs w:val="20"/>
        </w:rPr>
      </w:pPr>
      <w:r w:rsidRPr="0019087D">
        <w:rPr>
          <w:rFonts w:ascii="Arial" w:hAnsi="Arial" w:cs="Arial"/>
          <w:b/>
          <w:bCs/>
          <w:sz w:val="20"/>
          <w:szCs w:val="20"/>
        </w:rPr>
        <w:t xml:space="preserve">CONSOLIDATED </w:t>
      </w:r>
      <w:r w:rsidRPr="0019087D">
        <w:rPr>
          <w:rFonts w:ascii="Arial" w:hAnsi="Arial" w:cs="Arial"/>
          <w:b/>
          <w:bCs/>
          <w:color w:val="000000"/>
          <w:sz w:val="20"/>
          <w:szCs w:val="20"/>
        </w:rPr>
        <w:t>AND SEPARATE FINANCIAL</w:t>
      </w:r>
      <w:r w:rsidRPr="0019087D">
        <w:rPr>
          <w:rFonts w:ascii="Arial" w:hAnsi="Arial" w:cs="Arial"/>
          <w:b/>
          <w:bCs/>
          <w:sz w:val="20"/>
          <w:szCs w:val="20"/>
        </w:rPr>
        <w:t xml:space="preserve"> STATEMENTS</w:t>
      </w:r>
    </w:p>
    <w:p w:rsidR="00250F53" w:rsidRPr="0019087D" w:rsidRDefault="00250F53" w:rsidP="00364764">
      <w:pPr>
        <w:suppressAutoHyphens/>
        <w:spacing w:after="0" w:line="240" w:lineRule="auto"/>
        <w:ind w:left="720"/>
        <w:jc w:val="both"/>
        <w:rPr>
          <w:rFonts w:ascii="Arial" w:hAnsi="Arial" w:cs="Arial"/>
          <w:b/>
          <w:bCs/>
          <w:sz w:val="20"/>
          <w:szCs w:val="20"/>
        </w:rPr>
      </w:pPr>
    </w:p>
    <w:p w:rsidR="00C46DA4" w:rsidRPr="0019087D" w:rsidRDefault="00C34AA2" w:rsidP="00364764">
      <w:pPr>
        <w:suppressAutoHyphens/>
        <w:spacing w:after="0" w:line="240" w:lineRule="auto"/>
        <w:ind w:left="720"/>
        <w:jc w:val="both"/>
        <w:rPr>
          <w:rFonts w:ascii="Arial" w:hAnsi="Arial" w:cs="Arial"/>
          <w:b/>
          <w:bCs/>
          <w:sz w:val="20"/>
          <w:szCs w:val="20"/>
        </w:rPr>
      </w:pPr>
      <w:r w:rsidRPr="0019087D">
        <w:rPr>
          <w:rFonts w:ascii="Arial" w:hAnsi="Arial" w:cs="Arial"/>
          <w:b/>
          <w:bCs/>
          <w:sz w:val="20"/>
          <w:szCs w:val="20"/>
        </w:rPr>
        <w:t>31 DECEMBER 20</w:t>
      </w:r>
      <w:r w:rsidR="002873D1">
        <w:rPr>
          <w:rFonts w:ascii="Arial" w:hAnsi="Arial" w:cs="Arial"/>
          <w:b/>
          <w:bCs/>
          <w:sz w:val="20"/>
          <w:szCs w:val="20"/>
        </w:rPr>
        <w:t>20</w:t>
      </w:r>
    </w:p>
    <w:sectPr w:rsidR="00C46DA4" w:rsidRPr="0019087D" w:rsidSect="0019087D">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F21" w:rsidRDefault="00AC1F21" w:rsidP="001D338E">
      <w:pPr>
        <w:spacing w:after="0" w:line="240" w:lineRule="auto"/>
      </w:pPr>
      <w:r>
        <w:separator/>
      </w:r>
    </w:p>
  </w:endnote>
  <w:endnote w:type="continuationSeparator" w:id="0">
    <w:p w:rsidR="00AC1F21" w:rsidRDefault="00AC1F21"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F21" w:rsidRDefault="00AC1F21" w:rsidP="001D338E">
      <w:pPr>
        <w:spacing w:after="0" w:line="240" w:lineRule="auto"/>
      </w:pPr>
      <w:r>
        <w:separator/>
      </w:r>
    </w:p>
  </w:footnote>
  <w:footnote w:type="continuationSeparator" w:id="0">
    <w:p w:rsidR="00AC1F21" w:rsidRDefault="00AC1F21"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94383"/>
    <w:multiLevelType w:val="hybridMultilevel"/>
    <w:tmpl w:val="4D923920"/>
    <w:lvl w:ilvl="0" w:tplc="146AADD6">
      <w:start w:val="1"/>
      <w:numFmt w:val="bullet"/>
      <w:lvlText w:val=""/>
      <w:lvlJc w:val="left"/>
      <w:pPr>
        <w:ind w:left="720" w:hanging="360"/>
      </w:pPr>
      <w:rPr>
        <w:rFonts w:ascii="Symbol" w:hAnsi="Symbol" w:hint="default"/>
        <w:color w:val="CF4A0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AA15D9"/>
    <w:multiLevelType w:val="hybridMultilevel"/>
    <w:tmpl w:val="C8700000"/>
    <w:lvl w:ilvl="0" w:tplc="4BFA1A5A">
      <w:start w:val="1"/>
      <w:numFmt w:val="bullet"/>
      <w:lvlText w:val=""/>
      <w:lvlJc w:val="left"/>
      <w:pPr>
        <w:ind w:left="720" w:hanging="360"/>
      </w:pPr>
      <w:rPr>
        <w:rFonts w:ascii="Symbol" w:hAnsi="Symbol" w:hint="default"/>
        <w:color w:val="CF4A0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00446"/>
    <w:multiLevelType w:val="hybridMultilevel"/>
    <w:tmpl w:val="52784E18"/>
    <w:lvl w:ilvl="0" w:tplc="5FCA4B8A">
      <w:numFmt w:val="bullet"/>
      <w:lvlText w:val="-"/>
      <w:lvlJc w:val="left"/>
      <w:pPr>
        <w:ind w:left="720" w:hanging="360"/>
      </w:pPr>
      <w:rPr>
        <w:rFonts w:ascii="Cordia New" w:eastAsia="Arial" w:hAnsi="Cordia New"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740268"/>
    <w:multiLevelType w:val="hybridMultilevel"/>
    <w:tmpl w:val="5F84A56C"/>
    <w:lvl w:ilvl="0" w:tplc="92E00A76">
      <w:numFmt w:val="bullet"/>
      <w:lvlText w:val="-"/>
      <w:lvlJc w:val="left"/>
      <w:pPr>
        <w:ind w:left="720" w:hanging="360"/>
      </w:pPr>
      <w:rPr>
        <w:rFonts w:ascii="Angsana New" w:eastAsia="Calibri" w:hAnsi="Angsana New" w:cs="Angsana New" w:hint="c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8494B0B"/>
    <w:multiLevelType w:val="hybridMultilevel"/>
    <w:tmpl w:val="B3123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30EF3"/>
    <w:multiLevelType w:val="hybridMultilevel"/>
    <w:tmpl w:val="7FC2B4E6"/>
    <w:lvl w:ilvl="0" w:tplc="B320862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0605B"/>
    <w:multiLevelType w:val="hybridMultilevel"/>
    <w:tmpl w:val="9DC2A80A"/>
    <w:lvl w:ilvl="0" w:tplc="508EB42E">
      <w:numFmt w:val="bullet"/>
      <w:lvlText w:val="-"/>
      <w:lvlJc w:val="left"/>
      <w:pPr>
        <w:ind w:left="720" w:hanging="360"/>
      </w:pPr>
      <w:rPr>
        <w:rFonts w:ascii="Georgia" w:eastAsia="Calibri" w:hAnsi="Georgia" w:cs="Cordia New" w:hint="default"/>
      </w:rPr>
    </w:lvl>
    <w:lvl w:ilvl="1" w:tplc="D0945890">
      <w:start w:val="1"/>
      <w:numFmt w:val="decimal"/>
      <w:lvlText w:val="%2."/>
      <w:lvlJc w:val="left"/>
      <w:pPr>
        <w:ind w:left="1440" w:hanging="360"/>
      </w:pPr>
      <w:rPr>
        <w:rFonts w:ascii="Georgia" w:eastAsia="Calibri" w:hAnsi="Georgia" w:cs="Cordia New"/>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0B4B38"/>
    <w:multiLevelType w:val="hybridMultilevel"/>
    <w:tmpl w:val="3C90CFAE"/>
    <w:lvl w:ilvl="0" w:tplc="DE3895F4">
      <w:start w:val="1"/>
      <w:numFmt w:val="bullet"/>
      <w:lvlText w:val=""/>
      <w:lvlJc w:val="left"/>
      <w:pPr>
        <w:ind w:left="1080" w:hanging="360"/>
      </w:pPr>
      <w:rPr>
        <w:rFonts w:ascii="Symbol" w:hAnsi="Symbol" w:hint="default"/>
        <w:color w:val="CF4A0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562B1"/>
    <w:multiLevelType w:val="hybridMultilevel"/>
    <w:tmpl w:val="D54681A2"/>
    <w:lvl w:ilvl="0" w:tplc="508EB42E">
      <w:numFmt w:val="bullet"/>
      <w:lvlText w:val="-"/>
      <w:lvlJc w:val="left"/>
      <w:pPr>
        <w:ind w:left="720" w:hanging="360"/>
      </w:pPr>
      <w:rPr>
        <w:rFonts w:ascii="Georgia" w:eastAsia="Calibri" w:hAnsi="Georgia" w:cs="Cordia New" w:hint="default"/>
      </w:rPr>
    </w:lvl>
    <w:lvl w:ilvl="1" w:tplc="D0945890">
      <w:start w:val="1"/>
      <w:numFmt w:val="decimal"/>
      <w:lvlText w:val="%2."/>
      <w:lvlJc w:val="left"/>
      <w:pPr>
        <w:ind w:left="1440" w:hanging="360"/>
      </w:pPr>
      <w:rPr>
        <w:rFonts w:ascii="Georgia" w:eastAsia="Calibri" w:hAnsi="Georgia" w:cs="Cordia New"/>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0A6162"/>
    <w:multiLevelType w:val="hybridMultilevel"/>
    <w:tmpl w:val="5832DF16"/>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0" w15:restartNumberingAfterBreak="0">
    <w:nsid w:val="289345E3"/>
    <w:multiLevelType w:val="hybridMultilevel"/>
    <w:tmpl w:val="0B92268C"/>
    <w:lvl w:ilvl="0" w:tplc="366085B0">
      <w:start w:val="1"/>
      <w:numFmt w:val="bullet"/>
      <w:lvlText w:val="•"/>
      <w:lvlJc w:val="left"/>
      <w:pPr>
        <w:tabs>
          <w:tab w:val="num" w:pos="720"/>
        </w:tabs>
        <w:ind w:left="720" w:hanging="360"/>
      </w:pPr>
      <w:rPr>
        <w:rFonts w:ascii="Arial" w:hAnsi="Aria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E4E1861"/>
    <w:multiLevelType w:val="hybridMultilevel"/>
    <w:tmpl w:val="55504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74045FF"/>
    <w:multiLevelType w:val="hybridMultilevel"/>
    <w:tmpl w:val="2CD2F5F4"/>
    <w:lvl w:ilvl="0" w:tplc="AB86ABE0">
      <w:numFmt w:val="bullet"/>
      <w:lvlText w:val="-"/>
      <w:lvlJc w:val="left"/>
      <w:pPr>
        <w:ind w:left="525" w:hanging="360"/>
      </w:pPr>
      <w:rPr>
        <w:rFonts w:ascii="Arial" w:eastAsia="Calibri"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4" w15:restartNumberingAfterBreak="0">
    <w:nsid w:val="3A4F270D"/>
    <w:multiLevelType w:val="hybridMultilevel"/>
    <w:tmpl w:val="B91278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330FE9"/>
    <w:multiLevelType w:val="hybridMultilevel"/>
    <w:tmpl w:val="91C2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896FE3"/>
    <w:multiLevelType w:val="hybridMultilevel"/>
    <w:tmpl w:val="FCFAB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4C907E31"/>
    <w:multiLevelType w:val="hybridMultilevel"/>
    <w:tmpl w:val="E826B9C8"/>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28D4430"/>
    <w:multiLevelType w:val="hybridMultilevel"/>
    <w:tmpl w:val="768407A0"/>
    <w:lvl w:ilvl="0" w:tplc="87F0A0DC">
      <w:numFmt w:val="bullet"/>
      <w:lvlText w:val="-"/>
      <w:lvlJc w:val="left"/>
      <w:pPr>
        <w:ind w:left="360" w:hanging="360"/>
      </w:pPr>
      <w:rPr>
        <w:rFonts w:ascii="Georgia" w:eastAsia="Calibri" w:hAnsi="Georgia"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0B4A96"/>
    <w:multiLevelType w:val="hybridMultilevel"/>
    <w:tmpl w:val="D96ED06A"/>
    <w:lvl w:ilvl="0" w:tplc="B320862C">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1914F82"/>
    <w:multiLevelType w:val="hybridMultilevel"/>
    <w:tmpl w:val="08808154"/>
    <w:lvl w:ilvl="0" w:tplc="508EB42E">
      <w:numFmt w:val="bullet"/>
      <w:lvlText w:val="-"/>
      <w:lvlJc w:val="left"/>
      <w:pPr>
        <w:ind w:left="720" w:hanging="360"/>
      </w:pPr>
      <w:rPr>
        <w:rFonts w:ascii="Georgia" w:eastAsia="Calibri" w:hAnsi="Georgia" w:cs="Cordia New"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C004CE"/>
    <w:multiLevelType w:val="hybridMultilevel"/>
    <w:tmpl w:val="6D62C792"/>
    <w:lvl w:ilvl="0" w:tplc="A42A46C8">
      <w:start w:val="1"/>
      <w:numFmt w:val="bullet"/>
      <w:lvlText w:val=""/>
      <w:lvlJc w:val="left"/>
      <w:pPr>
        <w:ind w:left="720" w:hanging="360"/>
      </w:pPr>
      <w:rPr>
        <w:rFonts w:ascii="Symbol" w:hAnsi="Symbol" w:hint="default"/>
        <w:color w:val="C00000"/>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5B2D77"/>
    <w:multiLevelType w:val="hybridMultilevel"/>
    <w:tmpl w:val="D9284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24"/>
  </w:num>
  <w:num w:numId="3">
    <w:abstractNumId w:val="17"/>
  </w:num>
  <w:num w:numId="4">
    <w:abstractNumId w:val="12"/>
  </w:num>
  <w:num w:numId="5">
    <w:abstractNumId w:val="8"/>
  </w:num>
  <w:num w:numId="6">
    <w:abstractNumId w:val="21"/>
  </w:num>
  <w:num w:numId="7">
    <w:abstractNumId w:val="6"/>
  </w:num>
  <w:num w:numId="8">
    <w:abstractNumId w:val="19"/>
  </w:num>
  <w:num w:numId="9">
    <w:abstractNumId w:val="22"/>
  </w:num>
  <w:num w:numId="10">
    <w:abstractNumId w:val="11"/>
  </w:num>
  <w:num w:numId="11">
    <w:abstractNumId w:val="15"/>
  </w:num>
  <w:num w:numId="12">
    <w:abstractNumId w:val="16"/>
  </w:num>
  <w:num w:numId="13">
    <w:abstractNumId w:val="4"/>
  </w:num>
  <w:num w:numId="14">
    <w:abstractNumId w:val="3"/>
  </w:num>
  <w:num w:numId="15">
    <w:abstractNumId w:val="4"/>
  </w:num>
  <w:num w:numId="16">
    <w:abstractNumId w:val="9"/>
  </w:num>
  <w:num w:numId="17">
    <w:abstractNumId w:val="23"/>
  </w:num>
  <w:num w:numId="18">
    <w:abstractNumId w:val="2"/>
  </w:num>
  <w:num w:numId="19">
    <w:abstractNumId w:val="1"/>
  </w:num>
  <w:num w:numId="20">
    <w:abstractNumId w:val="0"/>
  </w:num>
  <w:num w:numId="21">
    <w:abstractNumId w:val="20"/>
  </w:num>
  <w:num w:numId="22">
    <w:abstractNumId w:val="18"/>
  </w:num>
  <w:num w:numId="23">
    <w:abstractNumId w:val="5"/>
  </w:num>
  <w:num w:numId="24">
    <w:abstractNumId w:val="14"/>
  </w:num>
  <w:num w:numId="25">
    <w:abstractNumId w:val="13"/>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oNotTrackMoves/>
  <w:defaultTabStop w:val="720"/>
  <w:characterSpacingControl w:val="doNotCompress"/>
  <w:hdrShapeDefaults>
    <o:shapedefaults v:ext="edit" spidmax="12289"/>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12818"/>
    <w:rsid w:val="0002023E"/>
    <w:rsid w:val="000255F8"/>
    <w:rsid w:val="00052271"/>
    <w:rsid w:val="00054B76"/>
    <w:rsid w:val="00083F2C"/>
    <w:rsid w:val="000A225F"/>
    <w:rsid w:val="000A4523"/>
    <w:rsid w:val="000B73C8"/>
    <w:rsid w:val="000D3728"/>
    <w:rsid w:val="000D55B0"/>
    <w:rsid w:val="000D73C6"/>
    <w:rsid w:val="000E46A8"/>
    <w:rsid w:val="000F1598"/>
    <w:rsid w:val="00110C2E"/>
    <w:rsid w:val="0011587F"/>
    <w:rsid w:val="00122B28"/>
    <w:rsid w:val="00155524"/>
    <w:rsid w:val="00162ECE"/>
    <w:rsid w:val="00177EB3"/>
    <w:rsid w:val="00183C46"/>
    <w:rsid w:val="0019087D"/>
    <w:rsid w:val="0019499D"/>
    <w:rsid w:val="00195B9C"/>
    <w:rsid w:val="001A1BC9"/>
    <w:rsid w:val="001B1135"/>
    <w:rsid w:val="001D028C"/>
    <w:rsid w:val="001D338E"/>
    <w:rsid w:val="001D4094"/>
    <w:rsid w:val="001D69A9"/>
    <w:rsid w:val="001E766A"/>
    <w:rsid w:val="00203924"/>
    <w:rsid w:val="00206CFD"/>
    <w:rsid w:val="00212260"/>
    <w:rsid w:val="00226B06"/>
    <w:rsid w:val="00226F0C"/>
    <w:rsid w:val="0023232B"/>
    <w:rsid w:val="00246F4F"/>
    <w:rsid w:val="00250F53"/>
    <w:rsid w:val="00252F8F"/>
    <w:rsid w:val="0026286A"/>
    <w:rsid w:val="00274A61"/>
    <w:rsid w:val="00281F17"/>
    <w:rsid w:val="0028562B"/>
    <w:rsid w:val="002873D1"/>
    <w:rsid w:val="002877CD"/>
    <w:rsid w:val="00293140"/>
    <w:rsid w:val="002A0F75"/>
    <w:rsid w:val="002A6F74"/>
    <w:rsid w:val="002A75B0"/>
    <w:rsid w:val="002C6202"/>
    <w:rsid w:val="002C78F1"/>
    <w:rsid w:val="002D0EEA"/>
    <w:rsid w:val="002D54B5"/>
    <w:rsid w:val="002E07C2"/>
    <w:rsid w:val="002F280C"/>
    <w:rsid w:val="00333D04"/>
    <w:rsid w:val="0034029B"/>
    <w:rsid w:val="00353FAE"/>
    <w:rsid w:val="00364764"/>
    <w:rsid w:val="00381146"/>
    <w:rsid w:val="00381B51"/>
    <w:rsid w:val="00382E88"/>
    <w:rsid w:val="003957BC"/>
    <w:rsid w:val="003B0ED7"/>
    <w:rsid w:val="003C7F73"/>
    <w:rsid w:val="003D3D27"/>
    <w:rsid w:val="003E0514"/>
    <w:rsid w:val="003E0C2C"/>
    <w:rsid w:val="003E4322"/>
    <w:rsid w:val="003E6B21"/>
    <w:rsid w:val="003F06EF"/>
    <w:rsid w:val="003F125C"/>
    <w:rsid w:val="003F4739"/>
    <w:rsid w:val="003F7FAC"/>
    <w:rsid w:val="00401D8C"/>
    <w:rsid w:val="00414571"/>
    <w:rsid w:val="00414E56"/>
    <w:rsid w:val="00423E70"/>
    <w:rsid w:val="004277C8"/>
    <w:rsid w:val="00433A38"/>
    <w:rsid w:val="004359D9"/>
    <w:rsid w:val="00474470"/>
    <w:rsid w:val="004871FA"/>
    <w:rsid w:val="00493CA4"/>
    <w:rsid w:val="0049535D"/>
    <w:rsid w:val="00495D9B"/>
    <w:rsid w:val="004D2469"/>
    <w:rsid w:val="004E0135"/>
    <w:rsid w:val="004E75F8"/>
    <w:rsid w:val="004F3206"/>
    <w:rsid w:val="00501057"/>
    <w:rsid w:val="00502230"/>
    <w:rsid w:val="0050561F"/>
    <w:rsid w:val="0051176C"/>
    <w:rsid w:val="005237A1"/>
    <w:rsid w:val="00524607"/>
    <w:rsid w:val="00535B02"/>
    <w:rsid w:val="005369CB"/>
    <w:rsid w:val="00542078"/>
    <w:rsid w:val="00545FD4"/>
    <w:rsid w:val="00561727"/>
    <w:rsid w:val="00571201"/>
    <w:rsid w:val="00590D5F"/>
    <w:rsid w:val="005B116F"/>
    <w:rsid w:val="005B1E87"/>
    <w:rsid w:val="005B49D6"/>
    <w:rsid w:val="005C55A6"/>
    <w:rsid w:val="005D072C"/>
    <w:rsid w:val="005D3618"/>
    <w:rsid w:val="005E3E6C"/>
    <w:rsid w:val="005F1C97"/>
    <w:rsid w:val="00607C32"/>
    <w:rsid w:val="00614CAB"/>
    <w:rsid w:val="00620568"/>
    <w:rsid w:val="00622B8E"/>
    <w:rsid w:val="00635544"/>
    <w:rsid w:val="0064199D"/>
    <w:rsid w:val="006439F8"/>
    <w:rsid w:val="006521EF"/>
    <w:rsid w:val="00653860"/>
    <w:rsid w:val="00654F92"/>
    <w:rsid w:val="006651E7"/>
    <w:rsid w:val="00675957"/>
    <w:rsid w:val="00680B35"/>
    <w:rsid w:val="00684C98"/>
    <w:rsid w:val="00686D35"/>
    <w:rsid w:val="00694F4F"/>
    <w:rsid w:val="006A1977"/>
    <w:rsid w:val="006C10E4"/>
    <w:rsid w:val="006D6D03"/>
    <w:rsid w:val="006E2189"/>
    <w:rsid w:val="006E73A1"/>
    <w:rsid w:val="006F0131"/>
    <w:rsid w:val="007063AD"/>
    <w:rsid w:val="00711EFC"/>
    <w:rsid w:val="0072016C"/>
    <w:rsid w:val="00724408"/>
    <w:rsid w:val="0074210C"/>
    <w:rsid w:val="0074573B"/>
    <w:rsid w:val="00746D54"/>
    <w:rsid w:val="00747C86"/>
    <w:rsid w:val="00756973"/>
    <w:rsid w:val="00762372"/>
    <w:rsid w:val="00763A2E"/>
    <w:rsid w:val="00772075"/>
    <w:rsid w:val="007878B6"/>
    <w:rsid w:val="00790517"/>
    <w:rsid w:val="00797D0D"/>
    <w:rsid w:val="007A39EB"/>
    <w:rsid w:val="007C3411"/>
    <w:rsid w:val="007C567C"/>
    <w:rsid w:val="007D1A62"/>
    <w:rsid w:val="007E71C0"/>
    <w:rsid w:val="007F3145"/>
    <w:rsid w:val="007F7811"/>
    <w:rsid w:val="0083580C"/>
    <w:rsid w:val="00846407"/>
    <w:rsid w:val="00850AE1"/>
    <w:rsid w:val="00850C19"/>
    <w:rsid w:val="0085540E"/>
    <w:rsid w:val="008640AC"/>
    <w:rsid w:val="008702DC"/>
    <w:rsid w:val="008720A9"/>
    <w:rsid w:val="0087284D"/>
    <w:rsid w:val="00886C30"/>
    <w:rsid w:val="00886FDA"/>
    <w:rsid w:val="008926F0"/>
    <w:rsid w:val="008927F3"/>
    <w:rsid w:val="008A0540"/>
    <w:rsid w:val="008B0D46"/>
    <w:rsid w:val="008B29EB"/>
    <w:rsid w:val="008B74CF"/>
    <w:rsid w:val="008C0900"/>
    <w:rsid w:val="008C7C62"/>
    <w:rsid w:val="008D59EA"/>
    <w:rsid w:val="008D64B8"/>
    <w:rsid w:val="008E0FC2"/>
    <w:rsid w:val="008F1164"/>
    <w:rsid w:val="00900250"/>
    <w:rsid w:val="009009AE"/>
    <w:rsid w:val="00906B28"/>
    <w:rsid w:val="00922275"/>
    <w:rsid w:val="00934B1D"/>
    <w:rsid w:val="00943FE5"/>
    <w:rsid w:val="00951558"/>
    <w:rsid w:val="00995360"/>
    <w:rsid w:val="00995D44"/>
    <w:rsid w:val="009A785E"/>
    <w:rsid w:val="009B2D00"/>
    <w:rsid w:val="009C0968"/>
    <w:rsid w:val="009C6682"/>
    <w:rsid w:val="009D6C4B"/>
    <w:rsid w:val="009D7BAC"/>
    <w:rsid w:val="009E67FA"/>
    <w:rsid w:val="009F1110"/>
    <w:rsid w:val="009F1A4B"/>
    <w:rsid w:val="009F67C1"/>
    <w:rsid w:val="00A019FF"/>
    <w:rsid w:val="00A03CC9"/>
    <w:rsid w:val="00A1720F"/>
    <w:rsid w:val="00A17EC3"/>
    <w:rsid w:val="00A3737F"/>
    <w:rsid w:val="00A51D13"/>
    <w:rsid w:val="00A60355"/>
    <w:rsid w:val="00A61058"/>
    <w:rsid w:val="00A65D3C"/>
    <w:rsid w:val="00A816A5"/>
    <w:rsid w:val="00AB5DBE"/>
    <w:rsid w:val="00AB7981"/>
    <w:rsid w:val="00AC038F"/>
    <w:rsid w:val="00AC1524"/>
    <w:rsid w:val="00AC1F21"/>
    <w:rsid w:val="00AC319C"/>
    <w:rsid w:val="00AD2313"/>
    <w:rsid w:val="00AD5FDE"/>
    <w:rsid w:val="00AE1E2A"/>
    <w:rsid w:val="00AE3469"/>
    <w:rsid w:val="00AE4390"/>
    <w:rsid w:val="00AE5B05"/>
    <w:rsid w:val="00AF710F"/>
    <w:rsid w:val="00AF7479"/>
    <w:rsid w:val="00B01387"/>
    <w:rsid w:val="00B05522"/>
    <w:rsid w:val="00B1085A"/>
    <w:rsid w:val="00B14C38"/>
    <w:rsid w:val="00B22B64"/>
    <w:rsid w:val="00B27DDC"/>
    <w:rsid w:val="00B41448"/>
    <w:rsid w:val="00B44EFE"/>
    <w:rsid w:val="00B537F6"/>
    <w:rsid w:val="00B6337A"/>
    <w:rsid w:val="00B76970"/>
    <w:rsid w:val="00B81665"/>
    <w:rsid w:val="00B83C2E"/>
    <w:rsid w:val="00B83EB2"/>
    <w:rsid w:val="00B91979"/>
    <w:rsid w:val="00BB4566"/>
    <w:rsid w:val="00BC5F8C"/>
    <w:rsid w:val="00BC7950"/>
    <w:rsid w:val="00BD5FF4"/>
    <w:rsid w:val="00BE457C"/>
    <w:rsid w:val="00BF4028"/>
    <w:rsid w:val="00BF792E"/>
    <w:rsid w:val="00C1699B"/>
    <w:rsid w:val="00C17413"/>
    <w:rsid w:val="00C34AA2"/>
    <w:rsid w:val="00C46DA4"/>
    <w:rsid w:val="00C47579"/>
    <w:rsid w:val="00C639BA"/>
    <w:rsid w:val="00C76825"/>
    <w:rsid w:val="00C8746F"/>
    <w:rsid w:val="00C9138D"/>
    <w:rsid w:val="00CA2431"/>
    <w:rsid w:val="00CC31F6"/>
    <w:rsid w:val="00CC7BD4"/>
    <w:rsid w:val="00CE0DD6"/>
    <w:rsid w:val="00D05DE0"/>
    <w:rsid w:val="00D0685C"/>
    <w:rsid w:val="00D11F81"/>
    <w:rsid w:val="00D412DF"/>
    <w:rsid w:val="00D44E5A"/>
    <w:rsid w:val="00D61D3A"/>
    <w:rsid w:val="00D67C92"/>
    <w:rsid w:val="00D74471"/>
    <w:rsid w:val="00D902B7"/>
    <w:rsid w:val="00D91F65"/>
    <w:rsid w:val="00DB14CE"/>
    <w:rsid w:val="00DB44FA"/>
    <w:rsid w:val="00DB5259"/>
    <w:rsid w:val="00DB7C9B"/>
    <w:rsid w:val="00DD375D"/>
    <w:rsid w:val="00DE096E"/>
    <w:rsid w:val="00DE2817"/>
    <w:rsid w:val="00DF2EFD"/>
    <w:rsid w:val="00DF325F"/>
    <w:rsid w:val="00DF6130"/>
    <w:rsid w:val="00E0219F"/>
    <w:rsid w:val="00E02673"/>
    <w:rsid w:val="00E04ABB"/>
    <w:rsid w:val="00E07F94"/>
    <w:rsid w:val="00E2061E"/>
    <w:rsid w:val="00E4700F"/>
    <w:rsid w:val="00E507A3"/>
    <w:rsid w:val="00E524CE"/>
    <w:rsid w:val="00E54D7C"/>
    <w:rsid w:val="00E6579D"/>
    <w:rsid w:val="00E81314"/>
    <w:rsid w:val="00E94227"/>
    <w:rsid w:val="00EC20C4"/>
    <w:rsid w:val="00EC7401"/>
    <w:rsid w:val="00F029A7"/>
    <w:rsid w:val="00F16DC7"/>
    <w:rsid w:val="00F3091E"/>
    <w:rsid w:val="00F317B3"/>
    <w:rsid w:val="00F33792"/>
    <w:rsid w:val="00F5621B"/>
    <w:rsid w:val="00F66429"/>
    <w:rsid w:val="00F66446"/>
    <w:rsid w:val="00F724E3"/>
    <w:rsid w:val="00F75ED2"/>
    <w:rsid w:val="00F76C4D"/>
    <w:rsid w:val="00F81D96"/>
    <w:rsid w:val="00F822F5"/>
    <w:rsid w:val="00F90D4C"/>
    <w:rsid w:val="00F90E1D"/>
    <w:rsid w:val="00F928E1"/>
    <w:rsid w:val="00F92BDE"/>
    <w:rsid w:val="00FC4108"/>
    <w:rsid w:val="00FC48CF"/>
    <w:rsid w:val="00FE23B5"/>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22132FD"/>
  <w15:chartTrackingRefBased/>
  <w15:docId w15:val="{E1CA6102-E952-4AFB-A3FB-AC4B25128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D44"/>
    <w:pPr>
      <w:spacing w:after="160" w:line="259" w:lineRule="auto"/>
    </w:pPr>
    <w:rPr>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11088">
      <w:bodyDiv w:val="1"/>
      <w:marLeft w:val="0"/>
      <w:marRight w:val="0"/>
      <w:marTop w:val="0"/>
      <w:marBottom w:val="0"/>
      <w:divBdr>
        <w:top w:val="none" w:sz="0" w:space="0" w:color="auto"/>
        <w:left w:val="none" w:sz="0" w:space="0" w:color="auto"/>
        <w:bottom w:val="none" w:sz="0" w:space="0" w:color="auto"/>
        <w:right w:val="none" w:sz="0" w:space="0" w:color="auto"/>
      </w:divBdr>
    </w:div>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245193541">
      <w:bodyDiv w:val="1"/>
      <w:marLeft w:val="0"/>
      <w:marRight w:val="0"/>
      <w:marTop w:val="0"/>
      <w:marBottom w:val="0"/>
      <w:divBdr>
        <w:top w:val="none" w:sz="0" w:space="0" w:color="auto"/>
        <w:left w:val="none" w:sz="0" w:space="0" w:color="auto"/>
        <w:bottom w:val="none" w:sz="0" w:space="0" w:color="auto"/>
        <w:right w:val="none" w:sz="0" w:space="0" w:color="auto"/>
      </w:divBdr>
    </w:div>
    <w:div w:id="400759713">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908425103">
      <w:bodyDiv w:val="1"/>
      <w:marLeft w:val="0"/>
      <w:marRight w:val="0"/>
      <w:marTop w:val="0"/>
      <w:marBottom w:val="0"/>
      <w:divBdr>
        <w:top w:val="none" w:sz="0" w:space="0" w:color="auto"/>
        <w:left w:val="none" w:sz="0" w:space="0" w:color="auto"/>
        <w:bottom w:val="none" w:sz="0" w:space="0" w:color="auto"/>
        <w:right w:val="none" w:sz="0" w:space="0" w:color="auto"/>
      </w:divBdr>
    </w:div>
    <w:div w:id="1002468785">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164080685">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75901279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 w:id="208641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7ECB8-1481-40C5-B01F-FF0E0C13A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1131</TotalTime>
  <Pages>7</Pages>
  <Words>2425</Words>
  <Characters>13826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Praphensri Puttaluck (TH)</cp:lastModifiedBy>
  <cp:revision>45</cp:revision>
  <cp:lastPrinted>2021-02-17T14:49:00Z</cp:lastPrinted>
  <dcterms:created xsi:type="dcterms:W3CDTF">2019-11-15T01:30:00Z</dcterms:created>
  <dcterms:modified xsi:type="dcterms:W3CDTF">2021-02-18T13:56:00Z</dcterms:modified>
</cp:coreProperties>
</file>